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0812" w:rsidRDefault="0015746F" w:rsidP="0015746F">
      <w:pPr>
        <w:spacing w:before="240" w:line="360" w:lineRule="auto"/>
        <w:contextualSpacing/>
        <w:jc w:val="center"/>
        <w:rPr>
          <w:rFonts w:ascii="Bookman Old Style" w:hAnsi="Bookman Old Style"/>
          <w:b/>
          <w:sz w:val="20"/>
          <w:szCs w:val="20"/>
        </w:rPr>
      </w:pPr>
      <w:r w:rsidRPr="006F0812">
        <w:rPr>
          <w:rFonts w:ascii="Bookman Old Style" w:hAnsi="Bookman Old Style"/>
          <w:b/>
          <w:sz w:val="20"/>
          <w:szCs w:val="20"/>
        </w:rPr>
        <w:t xml:space="preserve">ΤΟ ΝΟΜΙΚΩΣ ΑΝΥΠΟΣΤΑΤΟ ΤΟΥ «ΤΟΥΡΚΟΛΙΒΥΚΟΥ ΜΝΗΜΟΝΙΟΥ» </w:t>
      </w:r>
    </w:p>
    <w:p w:rsidR="006F0812" w:rsidRDefault="0015746F" w:rsidP="0015746F">
      <w:pPr>
        <w:spacing w:before="240" w:line="360" w:lineRule="auto"/>
        <w:contextualSpacing/>
        <w:jc w:val="center"/>
        <w:rPr>
          <w:rFonts w:ascii="Bookman Old Style" w:hAnsi="Bookman Old Style"/>
          <w:b/>
          <w:sz w:val="20"/>
          <w:szCs w:val="20"/>
        </w:rPr>
      </w:pPr>
      <w:r w:rsidRPr="006F0812">
        <w:rPr>
          <w:rFonts w:ascii="Bookman Old Style" w:hAnsi="Bookman Old Style"/>
          <w:b/>
          <w:sz w:val="20"/>
          <w:szCs w:val="20"/>
        </w:rPr>
        <w:t xml:space="preserve">ΚΑΙ ΟΙ ΕΝΤΕΥΘΕΝ ΝΟΜΙΚΕΣ ΣΥΝΕΠΕΙΕΣ ΣΤΟ ΠΕΔΙΟ </w:t>
      </w:r>
    </w:p>
    <w:p w:rsidR="00253D0F" w:rsidRPr="006F0812" w:rsidRDefault="0015746F" w:rsidP="0015746F">
      <w:pPr>
        <w:spacing w:before="240" w:line="360" w:lineRule="auto"/>
        <w:contextualSpacing/>
        <w:jc w:val="center"/>
        <w:rPr>
          <w:rFonts w:ascii="Bookman Old Style" w:hAnsi="Bookman Old Style"/>
          <w:b/>
          <w:sz w:val="20"/>
          <w:szCs w:val="20"/>
        </w:rPr>
      </w:pPr>
      <w:r w:rsidRPr="006F0812">
        <w:rPr>
          <w:rFonts w:ascii="Bookman Old Style" w:hAnsi="Bookman Old Style"/>
          <w:b/>
          <w:sz w:val="20"/>
          <w:szCs w:val="20"/>
        </w:rPr>
        <w:t>ΤΟΥ ΔΙΕΘΝΟΥΣ ΚΑΙ ΤΟΥ ΕΥΡΩΠΑΪΚΟΥ ΔΙΚΑΙΟΥ</w:t>
      </w:r>
    </w:p>
    <w:p w:rsidR="0015746F" w:rsidRPr="006F0812" w:rsidRDefault="0015746F" w:rsidP="0015746F">
      <w:pPr>
        <w:spacing w:before="240" w:line="360" w:lineRule="auto"/>
        <w:contextualSpacing/>
        <w:jc w:val="center"/>
        <w:rPr>
          <w:rFonts w:ascii="Bookman Old Style" w:hAnsi="Bookman Old Style"/>
          <w:b/>
          <w:sz w:val="20"/>
          <w:szCs w:val="20"/>
        </w:rPr>
      </w:pPr>
      <w:r w:rsidRPr="006F0812">
        <w:rPr>
          <w:rFonts w:ascii="Bookman Old Style" w:hAnsi="Bookman Old Style"/>
          <w:b/>
          <w:sz w:val="20"/>
          <w:szCs w:val="20"/>
        </w:rPr>
        <w:t>του Προκοπίου Παυλοπούλου</w:t>
      </w:r>
    </w:p>
    <w:p w:rsidR="0015746F" w:rsidRPr="006F0812" w:rsidRDefault="0015746F" w:rsidP="0015746F">
      <w:pPr>
        <w:spacing w:before="240" w:line="360" w:lineRule="auto"/>
        <w:contextualSpacing/>
        <w:jc w:val="center"/>
        <w:rPr>
          <w:rFonts w:ascii="Bookman Old Style" w:hAnsi="Bookman Old Style"/>
          <w:b/>
          <w:sz w:val="20"/>
          <w:szCs w:val="20"/>
        </w:rPr>
      </w:pPr>
      <w:r w:rsidRPr="006F0812">
        <w:rPr>
          <w:rFonts w:ascii="Bookman Old Style" w:hAnsi="Bookman Old Style"/>
          <w:b/>
          <w:sz w:val="20"/>
          <w:szCs w:val="20"/>
        </w:rPr>
        <w:t>τέως Προέδρου της Δημοκρατίας</w:t>
      </w:r>
    </w:p>
    <w:p w:rsidR="0015746F" w:rsidRPr="006F0812" w:rsidRDefault="0015746F" w:rsidP="0015746F">
      <w:pPr>
        <w:spacing w:before="240" w:line="360" w:lineRule="auto"/>
        <w:contextualSpacing/>
        <w:jc w:val="center"/>
        <w:rPr>
          <w:rFonts w:ascii="Bookman Old Style" w:hAnsi="Bookman Old Style"/>
          <w:b/>
          <w:sz w:val="20"/>
          <w:szCs w:val="20"/>
        </w:rPr>
      </w:pPr>
      <w:r w:rsidRPr="006F0812">
        <w:rPr>
          <w:rFonts w:ascii="Bookman Old Style" w:hAnsi="Bookman Old Style"/>
          <w:b/>
          <w:sz w:val="20"/>
          <w:szCs w:val="20"/>
        </w:rPr>
        <w:t>Επίτιμου Καθηγητή της Νομικής Σχολής</w:t>
      </w:r>
    </w:p>
    <w:p w:rsidR="0015746F" w:rsidRPr="006F0812" w:rsidRDefault="0015746F" w:rsidP="0015746F">
      <w:pPr>
        <w:spacing w:before="240" w:line="360" w:lineRule="auto"/>
        <w:contextualSpacing/>
        <w:jc w:val="center"/>
        <w:rPr>
          <w:rFonts w:ascii="Bookman Old Style" w:hAnsi="Bookman Old Style"/>
          <w:b/>
          <w:sz w:val="20"/>
          <w:szCs w:val="20"/>
        </w:rPr>
      </w:pPr>
      <w:r w:rsidRPr="006F0812">
        <w:rPr>
          <w:rFonts w:ascii="Bookman Old Style" w:hAnsi="Bookman Old Style"/>
          <w:b/>
          <w:sz w:val="20"/>
          <w:szCs w:val="20"/>
        </w:rPr>
        <w:t>του Εθνικού και Καποδιστριακού Πανεπιστημίου Αθηνών</w:t>
      </w:r>
    </w:p>
    <w:p w:rsidR="0015746F" w:rsidRDefault="0015746F" w:rsidP="0015746F">
      <w:pPr>
        <w:spacing w:before="240" w:line="360" w:lineRule="auto"/>
        <w:contextualSpacing/>
        <w:jc w:val="center"/>
        <w:rPr>
          <w:rFonts w:ascii="Bookman Old Style" w:hAnsi="Bookman Old Style"/>
          <w:b/>
          <w:sz w:val="24"/>
          <w:szCs w:val="24"/>
        </w:rPr>
      </w:pPr>
    </w:p>
    <w:p w:rsidR="006F0812" w:rsidRPr="006F0812" w:rsidRDefault="006F0812" w:rsidP="006F0812">
      <w:pPr>
        <w:spacing w:before="240" w:line="360" w:lineRule="auto"/>
        <w:jc w:val="center"/>
        <w:rPr>
          <w:rFonts w:ascii="Bookman Old Style" w:hAnsi="Bookman Old Style"/>
          <w:b/>
          <w:sz w:val="24"/>
          <w:szCs w:val="24"/>
        </w:rPr>
      </w:pPr>
      <w:r w:rsidRPr="006F0812">
        <w:rPr>
          <w:rFonts w:ascii="Bookman Old Style" w:hAnsi="Bookman Old Style"/>
          <w:b/>
          <w:sz w:val="24"/>
          <w:szCs w:val="24"/>
        </w:rPr>
        <w:t>Πρόλογος</w:t>
      </w:r>
    </w:p>
    <w:p w:rsidR="006F0812" w:rsidRDefault="0015746F" w:rsidP="00437265">
      <w:pPr>
        <w:spacing w:before="240" w:line="360" w:lineRule="auto"/>
        <w:jc w:val="both"/>
        <w:rPr>
          <w:rFonts w:ascii="Bookman Old Style" w:hAnsi="Bookman Old Style"/>
          <w:sz w:val="24"/>
          <w:szCs w:val="24"/>
        </w:rPr>
      </w:pPr>
      <w:r>
        <w:rPr>
          <w:rFonts w:ascii="Bookman Old Style" w:hAnsi="Bookman Old Style"/>
          <w:sz w:val="24"/>
          <w:szCs w:val="24"/>
        </w:rPr>
        <w:t>Στις 27-11-2019 υπογράφηκε -και δημοσιοποιήθηκε στις 28-11-2019- στην Κωνσταντινούπολη</w:t>
      </w:r>
      <w:r w:rsidR="00180FE4">
        <w:rPr>
          <w:rFonts w:ascii="Bookman Old Style" w:hAnsi="Bookman Old Style"/>
          <w:sz w:val="24"/>
          <w:szCs w:val="24"/>
        </w:rPr>
        <w:t>,</w:t>
      </w:r>
      <w:r>
        <w:rPr>
          <w:rFonts w:ascii="Bookman Old Style" w:hAnsi="Bookman Old Style"/>
          <w:sz w:val="24"/>
          <w:szCs w:val="24"/>
        </w:rPr>
        <w:t xml:space="preserve"> μεταξύ του Τούρκου Προέδρου </w:t>
      </w:r>
      <w:proofErr w:type="spellStart"/>
      <w:r>
        <w:rPr>
          <w:rFonts w:ascii="Bookman Old Style" w:hAnsi="Bookman Old Style"/>
          <w:sz w:val="24"/>
          <w:szCs w:val="24"/>
        </w:rPr>
        <w:t>Ρετζ</w:t>
      </w:r>
      <w:r w:rsidR="0028448F">
        <w:rPr>
          <w:rFonts w:ascii="Bookman Old Style" w:hAnsi="Bookman Old Style"/>
          <w:sz w:val="24"/>
          <w:szCs w:val="24"/>
        </w:rPr>
        <w:t>έ</w:t>
      </w:r>
      <w:r>
        <w:rPr>
          <w:rFonts w:ascii="Bookman Old Style" w:hAnsi="Bookman Old Style"/>
          <w:sz w:val="24"/>
          <w:szCs w:val="24"/>
        </w:rPr>
        <w:t>π</w:t>
      </w:r>
      <w:proofErr w:type="spellEnd"/>
      <w:r>
        <w:rPr>
          <w:rFonts w:ascii="Bookman Old Style" w:hAnsi="Bookman Old Style"/>
          <w:sz w:val="24"/>
          <w:szCs w:val="24"/>
        </w:rPr>
        <w:t xml:space="preserve"> </w:t>
      </w:r>
      <w:proofErr w:type="spellStart"/>
      <w:r>
        <w:rPr>
          <w:rFonts w:ascii="Bookman Old Style" w:hAnsi="Bookman Old Style"/>
          <w:sz w:val="24"/>
          <w:szCs w:val="24"/>
        </w:rPr>
        <w:t>Ταγίπ</w:t>
      </w:r>
      <w:proofErr w:type="spellEnd"/>
      <w:r>
        <w:rPr>
          <w:rFonts w:ascii="Bookman Old Style" w:hAnsi="Bookman Old Style"/>
          <w:sz w:val="24"/>
          <w:szCs w:val="24"/>
        </w:rPr>
        <w:t xml:space="preserve"> </w:t>
      </w:r>
      <w:proofErr w:type="spellStart"/>
      <w:r>
        <w:rPr>
          <w:rFonts w:ascii="Bookman Old Style" w:hAnsi="Bookman Old Style"/>
          <w:sz w:val="24"/>
          <w:szCs w:val="24"/>
        </w:rPr>
        <w:t>Ερντογάν</w:t>
      </w:r>
      <w:proofErr w:type="spellEnd"/>
      <w:r>
        <w:rPr>
          <w:rFonts w:ascii="Bookman Old Style" w:hAnsi="Bookman Old Style"/>
          <w:sz w:val="24"/>
          <w:szCs w:val="24"/>
        </w:rPr>
        <w:t xml:space="preserve"> και του φερόμενου ως πρωθυπουργού </w:t>
      </w:r>
      <w:r w:rsidR="006A1555" w:rsidRPr="006A1555">
        <w:rPr>
          <w:rFonts w:ascii="Bookman Old Style" w:hAnsi="Bookman Old Style"/>
          <w:sz w:val="24"/>
          <w:szCs w:val="24"/>
        </w:rPr>
        <w:t>(</w:t>
      </w:r>
      <w:r w:rsidR="006A1555">
        <w:rPr>
          <w:rFonts w:ascii="Bookman Old Style" w:hAnsi="Bookman Old Style"/>
          <w:sz w:val="24"/>
          <w:szCs w:val="24"/>
        </w:rPr>
        <w:t>«επικεφαλής της Κυβέρνησης Εθνικής Συμμαχ</w:t>
      </w:r>
      <w:r w:rsidR="00010377">
        <w:rPr>
          <w:rFonts w:ascii="Bookman Old Style" w:hAnsi="Bookman Old Style"/>
          <w:sz w:val="24"/>
          <w:szCs w:val="24"/>
        </w:rPr>
        <w:t>ί</w:t>
      </w:r>
      <w:r w:rsidR="006A1555">
        <w:rPr>
          <w:rFonts w:ascii="Bookman Old Style" w:hAnsi="Bookman Old Style"/>
          <w:sz w:val="24"/>
          <w:szCs w:val="24"/>
        </w:rPr>
        <w:t xml:space="preserve">ας») </w:t>
      </w:r>
      <w:r>
        <w:rPr>
          <w:rFonts w:ascii="Bookman Old Style" w:hAnsi="Bookman Old Style"/>
          <w:sz w:val="24"/>
          <w:szCs w:val="24"/>
        </w:rPr>
        <w:t xml:space="preserve">της Λιβύης </w:t>
      </w:r>
      <w:proofErr w:type="spellStart"/>
      <w:r>
        <w:rPr>
          <w:rFonts w:ascii="Bookman Old Style" w:hAnsi="Bookman Old Style"/>
          <w:sz w:val="24"/>
          <w:szCs w:val="24"/>
        </w:rPr>
        <w:t>Φαγέζ</w:t>
      </w:r>
      <w:proofErr w:type="spellEnd"/>
      <w:r>
        <w:rPr>
          <w:rFonts w:ascii="Bookman Old Style" w:hAnsi="Bookman Old Style"/>
          <w:sz w:val="24"/>
          <w:szCs w:val="24"/>
        </w:rPr>
        <w:t xml:space="preserve"> </w:t>
      </w:r>
      <w:proofErr w:type="spellStart"/>
      <w:r>
        <w:rPr>
          <w:rFonts w:ascii="Bookman Old Style" w:hAnsi="Bookman Old Style"/>
          <w:sz w:val="24"/>
          <w:szCs w:val="24"/>
        </w:rPr>
        <w:t>αλ</w:t>
      </w:r>
      <w:proofErr w:type="spellEnd"/>
      <w:r>
        <w:rPr>
          <w:rFonts w:ascii="Bookman Old Style" w:hAnsi="Bookman Old Style"/>
          <w:sz w:val="24"/>
          <w:szCs w:val="24"/>
        </w:rPr>
        <w:t xml:space="preserve"> </w:t>
      </w:r>
      <w:proofErr w:type="spellStart"/>
      <w:r>
        <w:rPr>
          <w:rFonts w:ascii="Bookman Old Style" w:hAnsi="Bookman Old Style"/>
          <w:sz w:val="24"/>
          <w:szCs w:val="24"/>
        </w:rPr>
        <w:t>Σα</w:t>
      </w:r>
      <w:r w:rsidR="006A1555">
        <w:rPr>
          <w:rFonts w:ascii="Bookman Old Style" w:hAnsi="Bookman Old Style"/>
          <w:sz w:val="24"/>
          <w:szCs w:val="24"/>
        </w:rPr>
        <w:t>ρ</w:t>
      </w:r>
      <w:r>
        <w:rPr>
          <w:rFonts w:ascii="Bookman Old Style" w:hAnsi="Bookman Old Style"/>
          <w:sz w:val="24"/>
          <w:szCs w:val="24"/>
        </w:rPr>
        <w:t>άζ</w:t>
      </w:r>
      <w:proofErr w:type="spellEnd"/>
      <w:r>
        <w:rPr>
          <w:rFonts w:ascii="Bookman Old Style" w:hAnsi="Bookman Old Style"/>
          <w:sz w:val="24"/>
          <w:szCs w:val="24"/>
        </w:rPr>
        <w:t>, το λεγόμενο «</w:t>
      </w:r>
      <w:proofErr w:type="spellStart"/>
      <w:r>
        <w:rPr>
          <w:rFonts w:ascii="Bookman Old Style" w:hAnsi="Bookman Old Style"/>
          <w:sz w:val="24"/>
          <w:szCs w:val="24"/>
        </w:rPr>
        <w:t>τουρκολιβυκό</w:t>
      </w:r>
      <w:proofErr w:type="spellEnd"/>
      <w:r>
        <w:rPr>
          <w:rFonts w:ascii="Bookman Old Style" w:hAnsi="Bookman Old Style"/>
          <w:sz w:val="24"/>
          <w:szCs w:val="24"/>
        </w:rPr>
        <w:t xml:space="preserve"> μνημόνιο κατανόησης»</w:t>
      </w:r>
      <w:r w:rsidR="006F0812">
        <w:rPr>
          <w:rFonts w:ascii="Bookman Old Style" w:hAnsi="Bookman Old Style"/>
          <w:sz w:val="24"/>
          <w:szCs w:val="24"/>
        </w:rPr>
        <w:t>,</w:t>
      </w:r>
      <w:r>
        <w:rPr>
          <w:rFonts w:ascii="Bookman Old Style" w:hAnsi="Bookman Old Style"/>
          <w:sz w:val="24"/>
          <w:szCs w:val="24"/>
        </w:rPr>
        <w:t xml:space="preserve"> με βασικό στόχο, κατά το περιεχόμενό του, την συνεργασία Τουρκίας και Λιβύης «για τον καθορισμό θαλάσσιων διαδικασιών» και</w:t>
      </w:r>
      <w:r w:rsidR="00740CB7">
        <w:rPr>
          <w:rFonts w:ascii="Bookman Old Style" w:hAnsi="Bookman Old Style"/>
          <w:sz w:val="24"/>
          <w:szCs w:val="24"/>
        </w:rPr>
        <w:t>,</w:t>
      </w:r>
      <w:r>
        <w:rPr>
          <w:rFonts w:ascii="Bookman Old Style" w:hAnsi="Bookman Old Style"/>
          <w:sz w:val="24"/>
          <w:szCs w:val="24"/>
        </w:rPr>
        <w:t xml:space="preserve"> στην πραγματικότητα, για την </w:t>
      </w:r>
      <w:r w:rsidR="00D94577">
        <w:rPr>
          <w:rFonts w:ascii="Bookman Old Style" w:hAnsi="Bookman Old Style"/>
          <w:sz w:val="24"/>
          <w:szCs w:val="24"/>
        </w:rPr>
        <w:t>με</w:t>
      </w:r>
      <w:r>
        <w:rPr>
          <w:rFonts w:ascii="Bookman Old Style" w:hAnsi="Bookman Old Style"/>
          <w:sz w:val="24"/>
          <w:szCs w:val="24"/>
        </w:rPr>
        <w:t xml:space="preserve">ταξύ τους οριοθέτηση Αποκλειστικής Οικονομικής Ζώνης (ΑΟΖ).  </w:t>
      </w:r>
    </w:p>
    <w:p w:rsidR="006F0812" w:rsidRDefault="006F0812" w:rsidP="006F0812">
      <w:pPr>
        <w:spacing w:before="240" w:line="360" w:lineRule="auto"/>
        <w:ind w:left="284" w:hanging="284"/>
        <w:jc w:val="both"/>
        <w:rPr>
          <w:rFonts w:ascii="Bookman Old Style" w:hAnsi="Bookman Old Style"/>
          <w:sz w:val="24"/>
          <w:szCs w:val="24"/>
        </w:rPr>
      </w:pPr>
      <w:r>
        <w:rPr>
          <w:rFonts w:ascii="Bookman Old Style" w:hAnsi="Bookman Old Style"/>
          <w:b/>
          <w:sz w:val="24"/>
          <w:szCs w:val="24"/>
        </w:rPr>
        <w:t xml:space="preserve">Α. </w:t>
      </w:r>
      <w:r w:rsidR="0015746F">
        <w:rPr>
          <w:rFonts w:ascii="Bookman Old Style" w:hAnsi="Bookman Old Style"/>
          <w:sz w:val="24"/>
          <w:szCs w:val="24"/>
        </w:rPr>
        <w:t xml:space="preserve">Το ως άνω «μνημόνιο» παραβιάζει, ως προς την διαδικασία κατάρτισής του αλλά και ως προς την ουσία του, σε τέτοιο βαθμό το Διεθνές Δίκαιο -κατ’ εξοχήν δε το Δίκαιο της Θάλασσας κατά την «Σύμβαση του </w:t>
      </w:r>
      <w:r w:rsidR="0015746F">
        <w:rPr>
          <w:rFonts w:ascii="Bookman Old Style" w:hAnsi="Bookman Old Style"/>
          <w:sz w:val="24"/>
          <w:szCs w:val="24"/>
          <w:lang w:val="en-US"/>
        </w:rPr>
        <w:t>Montego</w:t>
      </w:r>
      <w:r w:rsidR="0015746F" w:rsidRPr="0015746F">
        <w:rPr>
          <w:rFonts w:ascii="Bookman Old Style" w:hAnsi="Bookman Old Style"/>
          <w:sz w:val="24"/>
          <w:szCs w:val="24"/>
        </w:rPr>
        <w:t xml:space="preserve"> </w:t>
      </w:r>
      <w:r w:rsidR="0015746F">
        <w:rPr>
          <w:rFonts w:ascii="Bookman Old Style" w:hAnsi="Bookman Old Style"/>
          <w:sz w:val="24"/>
          <w:szCs w:val="24"/>
          <w:lang w:val="en-US"/>
        </w:rPr>
        <w:t>Bay</w:t>
      </w:r>
      <w:r w:rsidR="0015746F">
        <w:rPr>
          <w:rFonts w:ascii="Bookman Old Style" w:hAnsi="Bookman Old Style"/>
          <w:sz w:val="24"/>
          <w:szCs w:val="24"/>
        </w:rPr>
        <w:t>» του 1982- ώστε καθίσταται νομικώς ανυπόστατο και δεν μπορεί</w:t>
      </w:r>
      <w:r>
        <w:rPr>
          <w:rFonts w:ascii="Bookman Old Style" w:hAnsi="Bookman Old Style"/>
          <w:sz w:val="24"/>
          <w:szCs w:val="24"/>
        </w:rPr>
        <w:t>,</w:t>
      </w:r>
      <w:r w:rsidR="0015746F">
        <w:rPr>
          <w:rFonts w:ascii="Bookman Old Style" w:hAnsi="Bookman Old Style"/>
          <w:sz w:val="24"/>
          <w:szCs w:val="24"/>
        </w:rPr>
        <w:t xml:space="preserve"> θεσμικώς</w:t>
      </w:r>
      <w:r>
        <w:rPr>
          <w:rFonts w:ascii="Bookman Old Style" w:hAnsi="Bookman Old Style"/>
          <w:sz w:val="24"/>
          <w:szCs w:val="24"/>
        </w:rPr>
        <w:t>,</w:t>
      </w:r>
      <w:r w:rsidR="0015746F">
        <w:rPr>
          <w:rFonts w:ascii="Bookman Old Style" w:hAnsi="Bookman Old Style"/>
          <w:sz w:val="24"/>
          <w:szCs w:val="24"/>
        </w:rPr>
        <w:t xml:space="preserve"> να παραγάγει έννομα αποτελέσματα.  Την ανάγκη διαρκούς ανάδειξης του </w:t>
      </w:r>
      <w:r>
        <w:rPr>
          <w:rFonts w:ascii="Bookman Old Style" w:hAnsi="Bookman Old Style"/>
          <w:sz w:val="24"/>
          <w:szCs w:val="24"/>
        </w:rPr>
        <w:t xml:space="preserve">νομικώς </w:t>
      </w:r>
      <w:proofErr w:type="spellStart"/>
      <w:r w:rsidR="0015746F">
        <w:rPr>
          <w:rFonts w:ascii="Bookman Old Style" w:hAnsi="Bookman Old Style"/>
          <w:sz w:val="24"/>
          <w:szCs w:val="24"/>
        </w:rPr>
        <w:t>ανυπ</w:t>
      </w:r>
      <w:r w:rsidR="00740CB7">
        <w:rPr>
          <w:rFonts w:ascii="Bookman Old Style" w:hAnsi="Bookman Old Style"/>
          <w:sz w:val="24"/>
          <w:szCs w:val="24"/>
        </w:rPr>
        <w:t>οστά</w:t>
      </w:r>
      <w:r w:rsidR="0015746F">
        <w:rPr>
          <w:rFonts w:ascii="Bookman Old Style" w:hAnsi="Bookman Old Style"/>
          <w:sz w:val="24"/>
          <w:szCs w:val="24"/>
        </w:rPr>
        <w:t>του</w:t>
      </w:r>
      <w:proofErr w:type="spellEnd"/>
      <w:r w:rsidR="0015746F">
        <w:rPr>
          <w:rFonts w:ascii="Bookman Old Style" w:hAnsi="Bookman Old Style"/>
          <w:sz w:val="24"/>
          <w:szCs w:val="24"/>
        </w:rPr>
        <w:t xml:space="preserve"> </w:t>
      </w:r>
      <w:r w:rsidR="00CE2EB9">
        <w:rPr>
          <w:rFonts w:ascii="Bookman Old Style" w:hAnsi="Bookman Old Style"/>
          <w:sz w:val="24"/>
          <w:szCs w:val="24"/>
        </w:rPr>
        <w:t>του</w:t>
      </w:r>
      <w:r w:rsidR="0015746F">
        <w:rPr>
          <w:rFonts w:ascii="Bookman Old Style" w:hAnsi="Bookman Old Style"/>
          <w:sz w:val="24"/>
          <w:szCs w:val="24"/>
        </w:rPr>
        <w:t xml:space="preserve"> </w:t>
      </w:r>
      <w:r>
        <w:rPr>
          <w:rFonts w:ascii="Bookman Old Style" w:hAnsi="Bookman Old Style"/>
          <w:sz w:val="24"/>
          <w:szCs w:val="24"/>
        </w:rPr>
        <w:t>«</w:t>
      </w:r>
      <w:proofErr w:type="spellStart"/>
      <w:r>
        <w:rPr>
          <w:rFonts w:ascii="Bookman Old Style" w:hAnsi="Bookman Old Style"/>
          <w:sz w:val="24"/>
          <w:szCs w:val="24"/>
        </w:rPr>
        <w:t>τουρκολιβυκού</w:t>
      </w:r>
      <w:proofErr w:type="spellEnd"/>
      <w:r>
        <w:rPr>
          <w:rFonts w:ascii="Bookman Old Style" w:hAnsi="Bookman Old Style"/>
          <w:sz w:val="24"/>
          <w:szCs w:val="24"/>
        </w:rPr>
        <w:t xml:space="preserve"> </w:t>
      </w:r>
      <w:r w:rsidR="0015746F">
        <w:rPr>
          <w:rFonts w:ascii="Bookman Old Style" w:hAnsi="Bookman Old Style"/>
          <w:sz w:val="24"/>
          <w:szCs w:val="24"/>
        </w:rPr>
        <w:t xml:space="preserve">μνημονίου» αιτιολογεί, μεταξύ άλλων, </w:t>
      </w:r>
      <w:r w:rsidR="00635F7E">
        <w:rPr>
          <w:rFonts w:ascii="Bookman Old Style" w:hAnsi="Bookman Old Style"/>
          <w:sz w:val="24"/>
          <w:szCs w:val="24"/>
        </w:rPr>
        <w:t xml:space="preserve">και </w:t>
      </w:r>
      <w:r w:rsidR="0015746F">
        <w:rPr>
          <w:rFonts w:ascii="Bookman Old Style" w:hAnsi="Bookman Old Style"/>
          <w:sz w:val="24"/>
          <w:szCs w:val="24"/>
        </w:rPr>
        <w:t>το γεγονός ότι όχι μόνο</w:t>
      </w:r>
      <w:r w:rsidR="00740CB7">
        <w:rPr>
          <w:rFonts w:ascii="Bookman Old Style" w:hAnsi="Bookman Old Style"/>
          <w:sz w:val="24"/>
          <w:szCs w:val="24"/>
        </w:rPr>
        <w:t>ν</w:t>
      </w:r>
      <w:r w:rsidR="0015746F">
        <w:rPr>
          <w:rFonts w:ascii="Bookman Old Style" w:hAnsi="Bookman Old Style"/>
          <w:sz w:val="24"/>
          <w:szCs w:val="24"/>
        </w:rPr>
        <w:t xml:space="preserve"> η μέσω τούτου σχεδιαζόμενη ΑΟΖ </w:t>
      </w:r>
      <w:r w:rsidR="00D94577">
        <w:rPr>
          <w:rFonts w:ascii="Bookman Old Style" w:hAnsi="Bookman Old Style"/>
          <w:sz w:val="24"/>
          <w:szCs w:val="24"/>
        </w:rPr>
        <w:t>παραβιάζει καταφώρως τα δικαιώματα της Ελλάδας και της Ευρωπαϊκής Ένωσης ως προς την Ελληνική και, επέκεινα, την Ευρωπαϊκή ΑΟΖ.  Αλλά και ενδεχόμενη εφαρμογή του στην πράξη θα δημιουργούσε ένα εξαιρετικά αρνητικό προηγούμενο</w:t>
      </w:r>
      <w:r>
        <w:rPr>
          <w:rFonts w:ascii="Bookman Old Style" w:hAnsi="Bookman Old Style"/>
          <w:sz w:val="24"/>
          <w:szCs w:val="24"/>
        </w:rPr>
        <w:t>,</w:t>
      </w:r>
      <w:r w:rsidR="00D94577">
        <w:rPr>
          <w:rFonts w:ascii="Bookman Old Style" w:hAnsi="Bookman Old Style"/>
          <w:sz w:val="24"/>
          <w:szCs w:val="24"/>
        </w:rPr>
        <w:t xml:space="preserve"> αναφορικά με την εφαρμογή της «Σύμβασης του </w:t>
      </w:r>
      <w:r w:rsidR="00D94577">
        <w:rPr>
          <w:rFonts w:ascii="Bookman Old Style" w:hAnsi="Bookman Old Style"/>
          <w:sz w:val="24"/>
          <w:szCs w:val="24"/>
          <w:lang w:val="en-US"/>
        </w:rPr>
        <w:t>Montego</w:t>
      </w:r>
      <w:r w:rsidR="00D94577" w:rsidRPr="00D94577">
        <w:rPr>
          <w:rFonts w:ascii="Bookman Old Style" w:hAnsi="Bookman Old Style"/>
          <w:sz w:val="24"/>
          <w:szCs w:val="24"/>
        </w:rPr>
        <w:t xml:space="preserve"> </w:t>
      </w:r>
      <w:r w:rsidR="00D94577">
        <w:rPr>
          <w:rFonts w:ascii="Bookman Old Style" w:hAnsi="Bookman Old Style"/>
          <w:sz w:val="24"/>
          <w:szCs w:val="24"/>
          <w:lang w:val="en-US"/>
        </w:rPr>
        <w:t>Bay</w:t>
      </w:r>
      <w:r w:rsidR="00D94577">
        <w:rPr>
          <w:rFonts w:ascii="Bookman Old Style" w:hAnsi="Bookman Old Style"/>
          <w:sz w:val="24"/>
          <w:szCs w:val="24"/>
        </w:rPr>
        <w:t>» του 1982</w:t>
      </w:r>
      <w:r w:rsidR="00740CB7">
        <w:rPr>
          <w:rFonts w:ascii="Bookman Old Style" w:hAnsi="Bookman Old Style"/>
          <w:sz w:val="24"/>
          <w:szCs w:val="24"/>
        </w:rPr>
        <w:t>,</w:t>
      </w:r>
      <w:r w:rsidR="00D94577">
        <w:rPr>
          <w:rFonts w:ascii="Bookman Old Style" w:hAnsi="Bookman Old Style"/>
          <w:sz w:val="24"/>
          <w:szCs w:val="24"/>
        </w:rPr>
        <w:t xml:space="preserve"> τόσο στο πλαίσιο του ευρύτερου θαλάσσιου χώρου της Ευρωπαϊκής Ένωσης όσο και στο διεθνές </w:t>
      </w:r>
      <w:r w:rsidR="006A1555">
        <w:rPr>
          <w:rFonts w:ascii="Bookman Old Style" w:hAnsi="Bookman Old Style"/>
          <w:sz w:val="24"/>
          <w:szCs w:val="24"/>
        </w:rPr>
        <w:t>γίγνεσθαι</w:t>
      </w:r>
      <w:r w:rsidR="00D94577">
        <w:rPr>
          <w:rFonts w:ascii="Bookman Old Style" w:hAnsi="Bookman Old Style"/>
          <w:sz w:val="24"/>
          <w:szCs w:val="24"/>
        </w:rPr>
        <w:t xml:space="preserve"> </w:t>
      </w:r>
      <w:r>
        <w:rPr>
          <w:rFonts w:ascii="Bookman Old Style" w:hAnsi="Bookman Old Style"/>
          <w:sz w:val="24"/>
          <w:szCs w:val="24"/>
        </w:rPr>
        <w:t xml:space="preserve">κατά την οριοθέτηση ΑΟΖ </w:t>
      </w:r>
      <w:r w:rsidR="00D94577">
        <w:rPr>
          <w:rFonts w:ascii="Bookman Old Style" w:hAnsi="Bookman Old Style"/>
          <w:sz w:val="24"/>
          <w:szCs w:val="24"/>
        </w:rPr>
        <w:t xml:space="preserve">εν γένει.  </w:t>
      </w:r>
      <w:r w:rsidR="00740CB7">
        <w:rPr>
          <w:rFonts w:ascii="Bookman Old Style" w:hAnsi="Bookman Old Style"/>
          <w:sz w:val="24"/>
          <w:szCs w:val="24"/>
        </w:rPr>
        <w:t>Επιπλέον</w:t>
      </w:r>
      <w:r w:rsidR="00D94577">
        <w:rPr>
          <w:rFonts w:ascii="Bookman Old Style" w:hAnsi="Bookman Old Style"/>
          <w:sz w:val="24"/>
          <w:szCs w:val="24"/>
        </w:rPr>
        <w:t>, το «</w:t>
      </w:r>
      <w:proofErr w:type="spellStart"/>
      <w:r w:rsidR="00D94577">
        <w:rPr>
          <w:rFonts w:ascii="Bookman Old Style" w:hAnsi="Bookman Old Style"/>
          <w:sz w:val="24"/>
          <w:szCs w:val="24"/>
        </w:rPr>
        <w:t>τουρκολυβικό</w:t>
      </w:r>
      <w:proofErr w:type="spellEnd"/>
      <w:r w:rsidR="00D94577">
        <w:rPr>
          <w:rFonts w:ascii="Bookman Old Style" w:hAnsi="Bookman Old Style"/>
          <w:sz w:val="24"/>
          <w:szCs w:val="24"/>
        </w:rPr>
        <w:t xml:space="preserve"> μνημόνιο» εν πάση </w:t>
      </w:r>
      <w:proofErr w:type="spellStart"/>
      <w:r w:rsidR="00D94577">
        <w:rPr>
          <w:rFonts w:ascii="Bookman Old Style" w:hAnsi="Bookman Old Style"/>
          <w:sz w:val="24"/>
          <w:szCs w:val="24"/>
        </w:rPr>
        <w:lastRenderedPageBreak/>
        <w:t>περιπτώσει</w:t>
      </w:r>
      <w:proofErr w:type="spellEnd"/>
      <w:r w:rsidR="00D94577">
        <w:rPr>
          <w:rFonts w:ascii="Bookman Old Style" w:hAnsi="Bookman Old Style"/>
          <w:sz w:val="24"/>
          <w:szCs w:val="24"/>
        </w:rPr>
        <w:t xml:space="preserve"> δεν παρ</w:t>
      </w:r>
      <w:r w:rsidR="00635F7E">
        <w:rPr>
          <w:rFonts w:ascii="Bookman Old Style" w:hAnsi="Bookman Old Style"/>
          <w:sz w:val="24"/>
          <w:szCs w:val="24"/>
        </w:rPr>
        <w:t>ά</w:t>
      </w:r>
      <w:r w:rsidR="00D94577">
        <w:rPr>
          <w:rFonts w:ascii="Bookman Old Style" w:hAnsi="Bookman Old Style"/>
          <w:sz w:val="24"/>
          <w:szCs w:val="24"/>
        </w:rPr>
        <w:t>γει έννομα αποτελέσματα ως προς τ</w:t>
      </w:r>
      <w:r w:rsidR="0028448F">
        <w:rPr>
          <w:rFonts w:ascii="Bookman Old Style" w:hAnsi="Bookman Old Style"/>
          <w:sz w:val="24"/>
          <w:szCs w:val="24"/>
        </w:rPr>
        <w:t>ρ</w:t>
      </w:r>
      <w:r w:rsidR="00D94577">
        <w:rPr>
          <w:rFonts w:ascii="Bookman Old Style" w:hAnsi="Bookman Old Style"/>
          <w:sz w:val="24"/>
          <w:szCs w:val="24"/>
        </w:rPr>
        <w:t>ίτους -όπως π.χ. έναντι της Ελλάδας και της Ευρωπαϊκής Ένωσης</w:t>
      </w:r>
      <w:r w:rsidR="00740CB7">
        <w:rPr>
          <w:rFonts w:ascii="Bookman Old Style" w:hAnsi="Bookman Old Style"/>
          <w:sz w:val="24"/>
          <w:szCs w:val="24"/>
        </w:rPr>
        <w:t xml:space="preserve">- </w:t>
      </w:r>
      <w:r w:rsidR="00D94577">
        <w:rPr>
          <w:rFonts w:ascii="Bookman Old Style" w:hAnsi="Bookman Old Style"/>
          <w:sz w:val="24"/>
          <w:szCs w:val="24"/>
        </w:rPr>
        <w:t>κατά την αρχή «</w:t>
      </w:r>
      <w:r w:rsidR="00D94577">
        <w:rPr>
          <w:rFonts w:ascii="Bookman Old Style" w:hAnsi="Bookman Old Style"/>
          <w:sz w:val="24"/>
          <w:szCs w:val="24"/>
          <w:lang w:val="en-US"/>
        </w:rPr>
        <w:t>res</w:t>
      </w:r>
      <w:r w:rsidR="00D94577" w:rsidRPr="00D94577">
        <w:rPr>
          <w:rFonts w:ascii="Bookman Old Style" w:hAnsi="Bookman Old Style"/>
          <w:sz w:val="24"/>
          <w:szCs w:val="24"/>
        </w:rPr>
        <w:t xml:space="preserve"> </w:t>
      </w:r>
      <w:r w:rsidR="00D94577">
        <w:rPr>
          <w:rFonts w:ascii="Bookman Old Style" w:hAnsi="Bookman Old Style"/>
          <w:sz w:val="24"/>
          <w:szCs w:val="24"/>
          <w:lang w:val="en-US"/>
        </w:rPr>
        <w:t>inter</w:t>
      </w:r>
      <w:r w:rsidR="00D94577" w:rsidRPr="00D94577">
        <w:rPr>
          <w:rFonts w:ascii="Bookman Old Style" w:hAnsi="Bookman Old Style"/>
          <w:sz w:val="24"/>
          <w:szCs w:val="24"/>
        </w:rPr>
        <w:t xml:space="preserve"> </w:t>
      </w:r>
      <w:proofErr w:type="spellStart"/>
      <w:r w:rsidR="00D94577">
        <w:rPr>
          <w:rFonts w:ascii="Bookman Old Style" w:hAnsi="Bookman Old Style"/>
          <w:sz w:val="24"/>
          <w:szCs w:val="24"/>
          <w:lang w:val="en-US"/>
        </w:rPr>
        <w:t>alios</w:t>
      </w:r>
      <w:proofErr w:type="spellEnd"/>
      <w:r w:rsidR="00D94577" w:rsidRPr="00D94577">
        <w:rPr>
          <w:rFonts w:ascii="Bookman Old Style" w:hAnsi="Bookman Old Style"/>
          <w:sz w:val="24"/>
          <w:szCs w:val="24"/>
        </w:rPr>
        <w:t xml:space="preserve"> </w:t>
      </w:r>
      <w:r w:rsidR="00D94577">
        <w:rPr>
          <w:rFonts w:ascii="Bookman Old Style" w:hAnsi="Bookman Old Style"/>
          <w:sz w:val="24"/>
          <w:szCs w:val="24"/>
          <w:lang w:val="en-US"/>
        </w:rPr>
        <w:t>acta</w:t>
      </w:r>
      <w:r w:rsidR="00D94577">
        <w:rPr>
          <w:rFonts w:ascii="Bookman Old Style" w:hAnsi="Bookman Old Style"/>
          <w:sz w:val="24"/>
          <w:szCs w:val="24"/>
        </w:rPr>
        <w:t xml:space="preserve">», όπως αυτή ερμηνεύεται και εφαρμόζεται κατά την πάγια νομολογία του Διεθνούς Δικαστηρίου της Χάγης. </w:t>
      </w:r>
    </w:p>
    <w:p w:rsidR="0015746F" w:rsidRDefault="006F0812" w:rsidP="006F0812">
      <w:pPr>
        <w:spacing w:before="240" w:line="360" w:lineRule="auto"/>
        <w:ind w:left="284" w:hanging="284"/>
        <w:jc w:val="both"/>
        <w:rPr>
          <w:rFonts w:ascii="Bookman Old Style" w:hAnsi="Bookman Old Style"/>
          <w:sz w:val="24"/>
          <w:szCs w:val="24"/>
        </w:rPr>
      </w:pPr>
      <w:r>
        <w:rPr>
          <w:rFonts w:ascii="Bookman Old Style" w:hAnsi="Bookman Old Style"/>
          <w:b/>
          <w:sz w:val="24"/>
          <w:szCs w:val="24"/>
        </w:rPr>
        <w:t>Β.</w:t>
      </w:r>
      <w:r>
        <w:rPr>
          <w:rFonts w:ascii="Bookman Old Style" w:hAnsi="Bookman Old Style"/>
          <w:sz w:val="24"/>
          <w:szCs w:val="24"/>
        </w:rPr>
        <w:t xml:space="preserve"> </w:t>
      </w:r>
      <w:r w:rsidR="00740CB7">
        <w:rPr>
          <w:rFonts w:ascii="Bookman Old Style" w:hAnsi="Bookman Old Style"/>
          <w:sz w:val="24"/>
          <w:szCs w:val="24"/>
        </w:rPr>
        <w:t>Στην ανάλυση των ως άνω παραμέτρων των νομικών ελαττωμάτων του «</w:t>
      </w:r>
      <w:proofErr w:type="spellStart"/>
      <w:r w:rsidR="00740CB7">
        <w:rPr>
          <w:rFonts w:ascii="Bookman Old Style" w:hAnsi="Bookman Old Style"/>
          <w:sz w:val="24"/>
          <w:szCs w:val="24"/>
        </w:rPr>
        <w:t>τουρκολιβυκού</w:t>
      </w:r>
      <w:proofErr w:type="spellEnd"/>
      <w:r w:rsidR="00740CB7">
        <w:rPr>
          <w:rFonts w:ascii="Bookman Old Style" w:hAnsi="Bookman Old Style"/>
          <w:sz w:val="24"/>
          <w:szCs w:val="24"/>
        </w:rPr>
        <w:t xml:space="preserve"> μνημονίου» αποσκοπούν οι σκέψεις που ακολουθούν</w:t>
      </w:r>
      <w:r w:rsidR="00635F7E">
        <w:rPr>
          <w:rFonts w:ascii="Bookman Old Style" w:hAnsi="Bookman Old Style"/>
          <w:sz w:val="24"/>
          <w:szCs w:val="24"/>
        </w:rPr>
        <w:t>,</w:t>
      </w:r>
      <w:r>
        <w:rPr>
          <w:rFonts w:ascii="Bookman Old Style" w:hAnsi="Bookman Old Style"/>
          <w:sz w:val="24"/>
          <w:szCs w:val="24"/>
        </w:rPr>
        <w:t xml:space="preserve"> με την διευκρίνιση ότι το μεγαλύτερο μέρος τους αφιερώνεται, όπως είναι φυσικό, στα νομικά επιχειρήματα, τα οποία αποδεικνύουν όλο το μέγεθος των ζητημάτων που εγείρει το γεγονός πως το «μνημόνιο» αυτό έχει συναφθεί κατά τρόπο, ο οποίος το καθιστά ανυπόστατο και</w:t>
      </w:r>
      <w:r w:rsidR="00635F7E">
        <w:rPr>
          <w:rFonts w:ascii="Bookman Old Style" w:hAnsi="Bookman Old Style"/>
          <w:sz w:val="24"/>
          <w:szCs w:val="24"/>
        </w:rPr>
        <w:t xml:space="preserve">, </w:t>
      </w:r>
      <w:r>
        <w:rPr>
          <w:rFonts w:ascii="Bookman Old Style" w:hAnsi="Bookman Old Style"/>
          <w:sz w:val="24"/>
          <w:szCs w:val="24"/>
        </w:rPr>
        <w:t xml:space="preserve"> </w:t>
      </w:r>
      <w:r w:rsidR="00F97321">
        <w:rPr>
          <w:rFonts w:ascii="Bookman Old Style" w:hAnsi="Bookman Old Style"/>
          <w:sz w:val="24"/>
          <w:szCs w:val="24"/>
        </w:rPr>
        <w:t xml:space="preserve">ως </w:t>
      </w:r>
      <w:r w:rsidR="00635F7E">
        <w:rPr>
          <w:rFonts w:ascii="Bookman Old Style" w:hAnsi="Bookman Old Style"/>
          <w:sz w:val="24"/>
          <w:szCs w:val="24"/>
        </w:rPr>
        <w:t xml:space="preserve">εκ τούτου, κανονιστικώς ανίκανο να παραγάγει </w:t>
      </w:r>
      <w:r>
        <w:rPr>
          <w:rFonts w:ascii="Bookman Old Style" w:hAnsi="Bookman Old Style"/>
          <w:sz w:val="24"/>
          <w:szCs w:val="24"/>
        </w:rPr>
        <w:t xml:space="preserve">έννομα αποτελέσματα, ιδίως έναντι τρίτων. </w:t>
      </w:r>
      <w:r w:rsidR="00635F7E">
        <w:rPr>
          <w:rFonts w:ascii="Bookman Old Style" w:hAnsi="Bookman Old Style"/>
          <w:sz w:val="24"/>
          <w:szCs w:val="24"/>
        </w:rPr>
        <w:t xml:space="preserve"> Στους τρίτους αυτούς περιλαμβάνονται, αυτονοήτως, η Ελλάδα και η Ευρωπαϊκή Ένωση, αφού προδήλως το «</w:t>
      </w:r>
      <w:proofErr w:type="spellStart"/>
      <w:r w:rsidR="00635F7E">
        <w:rPr>
          <w:rFonts w:ascii="Bookman Old Style" w:hAnsi="Bookman Old Style"/>
          <w:sz w:val="24"/>
          <w:szCs w:val="24"/>
        </w:rPr>
        <w:t>τουρκολιβυκό</w:t>
      </w:r>
      <w:proofErr w:type="spellEnd"/>
      <w:r w:rsidR="00635F7E">
        <w:rPr>
          <w:rFonts w:ascii="Bookman Old Style" w:hAnsi="Bookman Old Style"/>
          <w:sz w:val="24"/>
          <w:szCs w:val="24"/>
        </w:rPr>
        <w:t xml:space="preserve"> μνημόνιο» </w:t>
      </w:r>
      <w:r w:rsidR="001870C7">
        <w:rPr>
          <w:rFonts w:ascii="Bookman Old Style" w:hAnsi="Bookman Old Style"/>
          <w:sz w:val="24"/>
          <w:szCs w:val="24"/>
        </w:rPr>
        <w:t xml:space="preserve">έχει ως στόχο να πλήξει </w:t>
      </w:r>
      <w:r w:rsidR="00635F7E">
        <w:rPr>
          <w:rFonts w:ascii="Bookman Old Style" w:hAnsi="Bookman Old Style"/>
          <w:sz w:val="24"/>
          <w:szCs w:val="24"/>
        </w:rPr>
        <w:t>ευθέως την ΑΟΖ της Ελλάδας, άρα και την ΑΟΖ της Ευρωπαϊκής Ένωσης.</w:t>
      </w:r>
    </w:p>
    <w:p w:rsidR="0057234C" w:rsidRPr="0028448F" w:rsidRDefault="00060431" w:rsidP="00437265">
      <w:pPr>
        <w:pStyle w:val="a5"/>
        <w:numPr>
          <w:ilvl w:val="0"/>
          <w:numId w:val="1"/>
        </w:numPr>
        <w:spacing w:before="240" w:line="360" w:lineRule="auto"/>
        <w:contextualSpacing w:val="0"/>
        <w:jc w:val="both"/>
        <w:rPr>
          <w:rFonts w:ascii="Bookman Old Style" w:hAnsi="Bookman Old Style"/>
          <w:b/>
          <w:sz w:val="24"/>
          <w:szCs w:val="24"/>
        </w:rPr>
      </w:pPr>
      <w:r w:rsidRPr="0028448F">
        <w:rPr>
          <w:rFonts w:ascii="Bookman Old Style" w:hAnsi="Bookman Old Style"/>
          <w:b/>
          <w:sz w:val="24"/>
          <w:szCs w:val="24"/>
        </w:rPr>
        <w:t>Το νομικώς ανυπόστατο του «</w:t>
      </w:r>
      <w:proofErr w:type="spellStart"/>
      <w:r w:rsidRPr="0028448F">
        <w:rPr>
          <w:rFonts w:ascii="Bookman Old Style" w:hAnsi="Bookman Old Style"/>
          <w:b/>
          <w:sz w:val="24"/>
          <w:szCs w:val="24"/>
        </w:rPr>
        <w:t>τουρκολιβυκού</w:t>
      </w:r>
      <w:proofErr w:type="spellEnd"/>
      <w:r w:rsidRPr="0028448F">
        <w:rPr>
          <w:rFonts w:ascii="Bookman Old Style" w:hAnsi="Bookman Old Style"/>
          <w:b/>
          <w:sz w:val="24"/>
          <w:szCs w:val="24"/>
        </w:rPr>
        <w:t xml:space="preserve"> μνημονίου» εξαιτίας της κατάφωρης παραβίασης του Διεθνούς Δικαίου κατά την </w:t>
      </w:r>
      <w:r w:rsidR="006F0812">
        <w:rPr>
          <w:rFonts w:ascii="Bookman Old Style" w:hAnsi="Bookman Old Style"/>
          <w:b/>
          <w:sz w:val="24"/>
          <w:szCs w:val="24"/>
        </w:rPr>
        <w:t>διαδικασία</w:t>
      </w:r>
      <w:r w:rsidRPr="0028448F">
        <w:rPr>
          <w:rFonts w:ascii="Bookman Old Style" w:hAnsi="Bookman Old Style"/>
          <w:b/>
          <w:sz w:val="24"/>
          <w:szCs w:val="24"/>
        </w:rPr>
        <w:t xml:space="preserve"> της διαμόρφωσης και της </w:t>
      </w:r>
      <w:r w:rsidR="00635F7E">
        <w:rPr>
          <w:rFonts w:ascii="Bookman Old Style" w:hAnsi="Bookman Old Style"/>
          <w:b/>
          <w:sz w:val="24"/>
          <w:szCs w:val="24"/>
        </w:rPr>
        <w:t>σύναψής</w:t>
      </w:r>
      <w:r w:rsidRPr="0028448F">
        <w:rPr>
          <w:rFonts w:ascii="Bookman Old Style" w:hAnsi="Bookman Old Style"/>
          <w:b/>
          <w:sz w:val="24"/>
          <w:szCs w:val="24"/>
        </w:rPr>
        <w:t xml:space="preserve"> του.</w:t>
      </w:r>
    </w:p>
    <w:p w:rsidR="00060431" w:rsidRDefault="00060431" w:rsidP="00F65936">
      <w:pPr>
        <w:pStyle w:val="a5"/>
        <w:spacing w:before="240" w:line="360" w:lineRule="auto"/>
        <w:ind w:left="567"/>
        <w:contextualSpacing w:val="0"/>
        <w:jc w:val="both"/>
        <w:rPr>
          <w:rFonts w:ascii="Bookman Old Style" w:hAnsi="Bookman Old Style"/>
          <w:sz w:val="24"/>
          <w:szCs w:val="24"/>
        </w:rPr>
      </w:pPr>
      <w:r>
        <w:rPr>
          <w:rFonts w:ascii="Bookman Old Style" w:hAnsi="Bookman Old Style"/>
          <w:sz w:val="24"/>
          <w:szCs w:val="24"/>
        </w:rPr>
        <w:t>Ήδ</w:t>
      </w:r>
      <w:r w:rsidR="0028448F">
        <w:rPr>
          <w:rFonts w:ascii="Bookman Old Style" w:hAnsi="Bookman Old Style"/>
          <w:sz w:val="24"/>
          <w:szCs w:val="24"/>
        </w:rPr>
        <w:t>η</w:t>
      </w:r>
      <w:r>
        <w:rPr>
          <w:rFonts w:ascii="Bookman Old Style" w:hAnsi="Bookman Old Style"/>
          <w:sz w:val="24"/>
          <w:szCs w:val="24"/>
        </w:rPr>
        <w:t xml:space="preserve"> από την κατά τ’ ανωτέρω δημοσιοποίησή του, το «</w:t>
      </w:r>
      <w:proofErr w:type="spellStart"/>
      <w:r>
        <w:rPr>
          <w:rFonts w:ascii="Bookman Old Style" w:hAnsi="Bookman Old Style"/>
          <w:sz w:val="24"/>
          <w:szCs w:val="24"/>
        </w:rPr>
        <w:t>τουρκολιβυκό</w:t>
      </w:r>
      <w:proofErr w:type="spellEnd"/>
      <w:r>
        <w:rPr>
          <w:rFonts w:ascii="Bookman Old Style" w:hAnsi="Bookman Old Style"/>
          <w:sz w:val="24"/>
          <w:szCs w:val="24"/>
        </w:rPr>
        <w:t xml:space="preserve"> μνημόνιο» προκάλεσε την </w:t>
      </w:r>
      <w:r w:rsidR="006F0812">
        <w:rPr>
          <w:rFonts w:ascii="Bookman Old Style" w:hAnsi="Bookman Old Style"/>
          <w:sz w:val="24"/>
          <w:szCs w:val="24"/>
        </w:rPr>
        <w:t>Ε</w:t>
      </w:r>
      <w:r w:rsidR="006A1555">
        <w:rPr>
          <w:rFonts w:ascii="Bookman Old Style" w:hAnsi="Bookman Old Style"/>
          <w:sz w:val="24"/>
          <w:szCs w:val="24"/>
        </w:rPr>
        <w:t xml:space="preserve">υρωπαϊκή και την </w:t>
      </w:r>
      <w:r w:rsidR="006F0812">
        <w:rPr>
          <w:rFonts w:ascii="Bookman Old Style" w:hAnsi="Bookman Old Style"/>
          <w:sz w:val="24"/>
          <w:szCs w:val="24"/>
        </w:rPr>
        <w:t>Δ</w:t>
      </w:r>
      <w:r>
        <w:rPr>
          <w:rFonts w:ascii="Bookman Old Style" w:hAnsi="Bookman Old Style"/>
          <w:sz w:val="24"/>
          <w:szCs w:val="24"/>
        </w:rPr>
        <w:t>ιεθνή</w:t>
      </w:r>
      <w:r w:rsidR="006A1555">
        <w:rPr>
          <w:rFonts w:ascii="Bookman Old Style" w:hAnsi="Bookman Old Style"/>
          <w:sz w:val="24"/>
          <w:szCs w:val="24"/>
        </w:rPr>
        <w:t xml:space="preserve"> </w:t>
      </w:r>
      <w:r>
        <w:rPr>
          <w:rFonts w:ascii="Bookman Old Style" w:hAnsi="Bookman Old Style"/>
          <w:sz w:val="24"/>
          <w:szCs w:val="24"/>
        </w:rPr>
        <w:t>κατακραυγή</w:t>
      </w:r>
      <w:r w:rsidR="006A1555">
        <w:rPr>
          <w:rFonts w:ascii="Bookman Old Style" w:hAnsi="Bookman Old Style"/>
          <w:sz w:val="24"/>
          <w:szCs w:val="24"/>
        </w:rPr>
        <w:t>, κυριολεκτικώς,</w:t>
      </w:r>
      <w:r>
        <w:rPr>
          <w:rFonts w:ascii="Bookman Old Style" w:hAnsi="Bookman Old Style"/>
          <w:sz w:val="24"/>
          <w:szCs w:val="24"/>
        </w:rPr>
        <w:t xml:space="preserve"> ως προς την κατ’ </w:t>
      </w:r>
      <w:proofErr w:type="spellStart"/>
      <w:r>
        <w:rPr>
          <w:rFonts w:ascii="Bookman Old Style" w:hAnsi="Bookman Old Style"/>
          <w:sz w:val="24"/>
          <w:szCs w:val="24"/>
        </w:rPr>
        <w:t>ουσίαν</w:t>
      </w:r>
      <w:proofErr w:type="spellEnd"/>
      <w:r>
        <w:rPr>
          <w:rFonts w:ascii="Bookman Old Style" w:hAnsi="Bookman Old Style"/>
          <w:sz w:val="24"/>
          <w:szCs w:val="24"/>
        </w:rPr>
        <w:t xml:space="preserve"> παραβίαση της «Σύμβασης του </w:t>
      </w:r>
      <w:r>
        <w:rPr>
          <w:rFonts w:ascii="Bookman Old Style" w:hAnsi="Bookman Old Style"/>
          <w:sz w:val="24"/>
          <w:szCs w:val="24"/>
          <w:lang w:val="en-US"/>
        </w:rPr>
        <w:t>Montego</w:t>
      </w:r>
      <w:r w:rsidRPr="00060431">
        <w:rPr>
          <w:rFonts w:ascii="Bookman Old Style" w:hAnsi="Bookman Old Style"/>
          <w:sz w:val="24"/>
          <w:szCs w:val="24"/>
        </w:rPr>
        <w:t xml:space="preserve"> </w:t>
      </w:r>
      <w:r>
        <w:rPr>
          <w:rFonts w:ascii="Bookman Old Style" w:hAnsi="Bookman Old Style"/>
          <w:sz w:val="24"/>
          <w:szCs w:val="24"/>
          <w:lang w:val="en-US"/>
        </w:rPr>
        <w:t>Bay</w:t>
      </w:r>
      <w:r>
        <w:rPr>
          <w:rFonts w:ascii="Bookman Old Style" w:hAnsi="Bookman Old Style"/>
          <w:sz w:val="24"/>
          <w:szCs w:val="24"/>
        </w:rPr>
        <w:t>» του 1982</w:t>
      </w:r>
      <w:r w:rsidR="006A1555">
        <w:rPr>
          <w:rFonts w:ascii="Bookman Old Style" w:hAnsi="Bookman Old Style"/>
          <w:sz w:val="24"/>
          <w:szCs w:val="24"/>
        </w:rPr>
        <w:t>.</w:t>
      </w:r>
      <w:r>
        <w:rPr>
          <w:rFonts w:ascii="Bookman Old Style" w:hAnsi="Bookman Old Style"/>
          <w:sz w:val="24"/>
          <w:szCs w:val="24"/>
        </w:rPr>
        <w:t xml:space="preserve"> </w:t>
      </w:r>
      <w:r w:rsidR="006A1555">
        <w:rPr>
          <w:rFonts w:ascii="Bookman Old Style" w:hAnsi="Bookman Old Style"/>
          <w:sz w:val="24"/>
          <w:szCs w:val="24"/>
        </w:rPr>
        <w:t>Δ</w:t>
      </w:r>
      <w:r>
        <w:rPr>
          <w:rFonts w:ascii="Bookman Old Style" w:hAnsi="Bookman Old Style"/>
          <w:sz w:val="24"/>
          <w:szCs w:val="24"/>
        </w:rPr>
        <w:t xml:space="preserve">οθέντος ότι η μέσω αυτού επιχειρούμενη χάραξη ΑΟΖ μεταξύ Τουρκίας και Λιβύης </w:t>
      </w:r>
      <w:r w:rsidR="00740CB7">
        <w:rPr>
          <w:rFonts w:ascii="Bookman Old Style" w:hAnsi="Bookman Old Style"/>
          <w:sz w:val="24"/>
          <w:szCs w:val="24"/>
        </w:rPr>
        <w:t xml:space="preserve">συνιστά </w:t>
      </w:r>
      <w:r>
        <w:rPr>
          <w:rFonts w:ascii="Bookman Old Style" w:hAnsi="Bookman Old Style"/>
          <w:sz w:val="24"/>
          <w:szCs w:val="24"/>
        </w:rPr>
        <w:t xml:space="preserve">πραγματική πρόκληση ως προς τον σεβασμό του Δικαίου της Θάλασσας -στο οποίο, όπως είναι γνωστό, η Τουρκία ούτως ή άλλως δεν έχει προσχωρήσει, πλην όμως δεσμεύεται από αυτό με την μορφή εθιμικών κανόνων ή, </w:t>
      </w:r>
      <w:proofErr w:type="spellStart"/>
      <w:r>
        <w:rPr>
          <w:rFonts w:ascii="Bookman Old Style" w:hAnsi="Bookman Old Style"/>
          <w:sz w:val="24"/>
          <w:szCs w:val="24"/>
        </w:rPr>
        <w:t>όπερ</w:t>
      </w:r>
      <w:proofErr w:type="spellEnd"/>
      <w:r>
        <w:rPr>
          <w:rFonts w:ascii="Bookman Old Style" w:hAnsi="Bookman Old Style"/>
          <w:sz w:val="24"/>
          <w:szCs w:val="24"/>
        </w:rPr>
        <w:t xml:space="preserve"> και ορθότερο, γενικώς παραδεδεγμένων κανόνων του Διεθνούς Δικαίου, κατά την νομολογία του Διεθνούς Δικαστηρίου της Χάγης-</w:t>
      </w:r>
      <w:r w:rsidR="005C264F">
        <w:rPr>
          <w:rFonts w:ascii="Bookman Old Style" w:hAnsi="Bookman Old Style"/>
          <w:sz w:val="24"/>
          <w:szCs w:val="24"/>
        </w:rPr>
        <w:t xml:space="preserve"> αν μάλιστα αναλογισθεί κανείς ότι το όλο «εγχείρημα» </w:t>
      </w:r>
      <w:r w:rsidR="00740CB7">
        <w:rPr>
          <w:rFonts w:ascii="Bookman Old Style" w:hAnsi="Bookman Old Style"/>
          <w:sz w:val="24"/>
          <w:szCs w:val="24"/>
        </w:rPr>
        <w:t>αγνοεί</w:t>
      </w:r>
      <w:r w:rsidR="005C264F">
        <w:rPr>
          <w:rFonts w:ascii="Bookman Old Style" w:hAnsi="Bookman Old Style"/>
          <w:sz w:val="24"/>
          <w:szCs w:val="24"/>
        </w:rPr>
        <w:t xml:space="preserve"> μείζονες γεωγραφικούς όγκους, όπως εκείνους της Κρήτης και της Ρόδου.  </w:t>
      </w:r>
      <w:r w:rsidR="006A1555">
        <w:rPr>
          <w:rFonts w:ascii="Bookman Old Style" w:hAnsi="Bookman Old Style"/>
          <w:sz w:val="24"/>
          <w:szCs w:val="24"/>
        </w:rPr>
        <w:t>Όμως,</w:t>
      </w:r>
      <w:r w:rsidR="005C264F">
        <w:rPr>
          <w:rFonts w:ascii="Bookman Old Style" w:hAnsi="Bookman Old Style"/>
          <w:sz w:val="24"/>
          <w:szCs w:val="24"/>
        </w:rPr>
        <w:t xml:space="preserve"> το </w:t>
      </w:r>
      <w:r w:rsidR="00740CB7">
        <w:rPr>
          <w:rFonts w:ascii="Bookman Old Style" w:hAnsi="Bookman Old Style"/>
          <w:sz w:val="24"/>
          <w:szCs w:val="24"/>
        </w:rPr>
        <w:t>κύριο</w:t>
      </w:r>
      <w:r w:rsidR="005C264F">
        <w:rPr>
          <w:rFonts w:ascii="Bookman Old Style" w:hAnsi="Bookman Old Style"/>
          <w:sz w:val="24"/>
          <w:szCs w:val="24"/>
        </w:rPr>
        <w:t xml:space="preserve"> πρόβλημα με το </w:t>
      </w:r>
      <w:r w:rsidR="005C264F">
        <w:rPr>
          <w:rFonts w:ascii="Bookman Old Style" w:hAnsi="Bookman Old Style"/>
          <w:sz w:val="24"/>
          <w:szCs w:val="24"/>
        </w:rPr>
        <w:lastRenderedPageBreak/>
        <w:t xml:space="preserve">«μνημόνιο» αυτό </w:t>
      </w:r>
      <w:r w:rsidR="00740CB7">
        <w:rPr>
          <w:rFonts w:ascii="Bookman Old Style" w:hAnsi="Bookman Old Style"/>
          <w:sz w:val="24"/>
          <w:szCs w:val="24"/>
        </w:rPr>
        <w:t>-</w:t>
      </w:r>
      <w:r w:rsidR="005C264F">
        <w:rPr>
          <w:rFonts w:ascii="Bookman Old Style" w:hAnsi="Bookman Old Style"/>
          <w:sz w:val="24"/>
          <w:szCs w:val="24"/>
        </w:rPr>
        <w:t>πρόβλημα το οποίο</w:t>
      </w:r>
      <w:r w:rsidR="00740CB7">
        <w:rPr>
          <w:rFonts w:ascii="Bookman Old Style" w:hAnsi="Bookman Old Style"/>
          <w:sz w:val="24"/>
          <w:szCs w:val="24"/>
        </w:rPr>
        <w:t xml:space="preserve">, όπως </w:t>
      </w:r>
      <w:proofErr w:type="spellStart"/>
      <w:r w:rsidR="00740CB7">
        <w:rPr>
          <w:rFonts w:ascii="Bookman Old Style" w:hAnsi="Bookman Old Style"/>
          <w:sz w:val="24"/>
          <w:szCs w:val="24"/>
        </w:rPr>
        <w:t>προεκτέθηκε</w:t>
      </w:r>
      <w:proofErr w:type="spellEnd"/>
      <w:r w:rsidR="00740CB7">
        <w:rPr>
          <w:rFonts w:ascii="Bookman Old Style" w:hAnsi="Bookman Old Style"/>
          <w:sz w:val="24"/>
          <w:szCs w:val="24"/>
        </w:rPr>
        <w:t>,</w:t>
      </w:r>
      <w:r w:rsidR="005C264F">
        <w:rPr>
          <w:rFonts w:ascii="Bookman Old Style" w:hAnsi="Bookman Old Style"/>
          <w:sz w:val="24"/>
          <w:szCs w:val="24"/>
        </w:rPr>
        <w:t xml:space="preserve"> αφορά την αδυναμία του να παραγάγει οιαδήποτε έννομα αποτελέσματα</w:t>
      </w:r>
      <w:r w:rsidR="00740CB7">
        <w:rPr>
          <w:rFonts w:ascii="Bookman Old Style" w:hAnsi="Bookman Old Style"/>
          <w:sz w:val="24"/>
          <w:szCs w:val="24"/>
        </w:rPr>
        <w:t>-</w:t>
      </w:r>
      <w:r w:rsidR="005C264F">
        <w:rPr>
          <w:rFonts w:ascii="Bookman Old Style" w:hAnsi="Bookman Old Style"/>
          <w:sz w:val="24"/>
          <w:szCs w:val="24"/>
        </w:rPr>
        <w:t xml:space="preserve"> έγκειται στο ότι ο τρόπος με τον οποίο διαμορφώθηκε το περιεχόμενό του και </w:t>
      </w:r>
      <w:proofErr w:type="spellStart"/>
      <w:r w:rsidR="005C264F">
        <w:rPr>
          <w:rFonts w:ascii="Bookman Old Style" w:hAnsi="Bookman Old Style"/>
          <w:sz w:val="24"/>
          <w:szCs w:val="24"/>
        </w:rPr>
        <w:t>συντελέσ</w:t>
      </w:r>
      <w:r w:rsidR="0028448F">
        <w:rPr>
          <w:rFonts w:ascii="Bookman Old Style" w:hAnsi="Bookman Old Style"/>
          <w:sz w:val="24"/>
          <w:szCs w:val="24"/>
        </w:rPr>
        <w:t>θ</w:t>
      </w:r>
      <w:r w:rsidR="005C264F">
        <w:rPr>
          <w:rFonts w:ascii="Bookman Old Style" w:hAnsi="Bookman Old Style"/>
          <w:sz w:val="24"/>
          <w:szCs w:val="24"/>
        </w:rPr>
        <w:t>ηκε</w:t>
      </w:r>
      <w:proofErr w:type="spellEnd"/>
      <w:r w:rsidR="005C264F">
        <w:rPr>
          <w:rFonts w:ascii="Bookman Old Style" w:hAnsi="Bookman Old Style"/>
          <w:sz w:val="24"/>
          <w:szCs w:val="24"/>
        </w:rPr>
        <w:t xml:space="preserve"> η υπογραφή του το καθιστούν νομικώς ανυπόστατο</w:t>
      </w:r>
      <w:r w:rsidR="0028448F">
        <w:rPr>
          <w:rFonts w:ascii="Bookman Old Style" w:hAnsi="Bookman Old Style"/>
          <w:sz w:val="24"/>
          <w:szCs w:val="24"/>
        </w:rPr>
        <w:t xml:space="preserve"> -και όχι απλώς άκυρο ή ακυρώσιμο- όπως προκύπτει ιδίως από τα εξής:</w:t>
      </w:r>
    </w:p>
    <w:p w:rsidR="0028448F" w:rsidRDefault="0028448F" w:rsidP="00437265">
      <w:pPr>
        <w:pStyle w:val="a5"/>
        <w:spacing w:before="240" w:line="360" w:lineRule="auto"/>
        <w:ind w:left="567" w:hanging="283"/>
        <w:contextualSpacing w:val="0"/>
        <w:jc w:val="both"/>
        <w:rPr>
          <w:rFonts w:ascii="Bookman Old Style" w:hAnsi="Bookman Old Style"/>
          <w:b/>
          <w:sz w:val="24"/>
          <w:szCs w:val="24"/>
        </w:rPr>
      </w:pPr>
      <w:r>
        <w:rPr>
          <w:rFonts w:ascii="Bookman Old Style" w:hAnsi="Bookman Old Style"/>
          <w:b/>
          <w:sz w:val="24"/>
          <w:szCs w:val="24"/>
        </w:rPr>
        <w:t xml:space="preserve">Α. Η κατάφωρη παραβίαση των περί σύναψης Διεθνών Συνθηκών διατάξεων της Σύμβασης της Βιέννης. </w:t>
      </w:r>
    </w:p>
    <w:p w:rsidR="00E415B8" w:rsidRDefault="00E415B8" w:rsidP="00437265">
      <w:pPr>
        <w:pStyle w:val="a5"/>
        <w:spacing w:before="240" w:line="360" w:lineRule="auto"/>
        <w:ind w:left="567" w:hanging="283"/>
        <w:contextualSpacing w:val="0"/>
        <w:jc w:val="both"/>
        <w:rPr>
          <w:rFonts w:ascii="Bookman Old Style" w:hAnsi="Bookman Old Style"/>
          <w:sz w:val="24"/>
          <w:szCs w:val="24"/>
        </w:rPr>
      </w:pPr>
      <w:r>
        <w:rPr>
          <w:rFonts w:ascii="Bookman Old Style" w:hAnsi="Bookman Old Style"/>
          <w:b/>
          <w:sz w:val="24"/>
          <w:szCs w:val="24"/>
        </w:rPr>
        <w:tab/>
      </w:r>
      <w:r>
        <w:rPr>
          <w:rFonts w:ascii="Bookman Old Style" w:hAnsi="Bookman Old Style"/>
          <w:sz w:val="24"/>
          <w:szCs w:val="24"/>
        </w:rPr>
        <w:t>Ιδιαιτέρως νομικώς αντιπροσωπευτικές και κρίσιμες</w:t>
      </w:r>
      <w:r w:rsidR="006A1555">
        <w:rPr>
          <w:rFonts w:ascii="Bookman Old Style" w:hAnsi="Bookman Old Style"/>
          <w:sz w:val="24"/>
          <w:szCs w:val="24"/>
        </w:rPr>
        <w:t>,</w:t>
      </w:r>
      <w:r>
        <w:rPr>
          <w:rFonts w:ascii="Bookman Old Style" w:hAnsi="Bookman Old Style"/>
          <w:sz w:val="24"/>
          <w:szCs w:val="24"/>
        </w:rPr>
        <w:t xml:space="preserve"> ως προς την τεκμηρίωση του κατά την διαδικασία σύναψ</w:t>
      </w:r>
      <w:r w:rsidR="006A1555">
        <w:rPr>
          <w:rFonts w:ascii="Bookman Old Style" w:hAnsi="Bookman Old Style"/>
          <w:sz w:val="24"/>
          <w:szCs w:val="24"/>
        </w:rPr>
        <w:t>ή</w:t>
      </w:r>
      <w:r>
        <w:rPr>
          <w:rFonts w:ascii="Bookman Old Style" w:hAnsi="Bookman Old Style"/>
          <w:sz w:val="24"/>
          <w:szCs w:val="24"/>
        </w:rPr>
        <w:t>ς τ</w:t>
      </w:r>
      <w:r w:rsidR="00BE556A">
        <w:rPr>
          <w:rFonts w:ascii="Bookman Old Style" w:hAnsi="Bookman Old Style"/>
          <w:sz w:val="24"/>
          <w:szCs w:val="24"/>
        </w:rPr>
        <w:t xml:space="preserve">ου </w:t>
      </w:r>
      <w:proofErr w:type="spellStart"/>
      <w:r w:rsidR="00BE556A">
        <w:rPr>
          <w:rFonts w:ascii="Bookman Old Style" w:hAnsi="Bookman Old Style"/>
          <w:sz w:val="24"/>
          <w:szCs w:val="24"/>
        </w:rPr>
        <w:t>ανυποστάτου</w:t>
      </w:r>
      <w:proofErr w:type="spellEnd"/>
      <w:r w:rsidR="00BE556A">
        <w:rPr>
          <w:rFonts w:ascii="Bookman Old Style" w:hAnsi="Bookman Old Style"/>
          <w:sz w:val="24"/>
          <w:szCs w:val="24"/>
        </w:rPr>
        <w:t xml:space="preserve"> του «</w:t>
      </w:r>
      <w:proofErr w:type="spellStart"/>
      <w:r w:rsidR="00BE556A">
        <w:rPr>
          <w:rFonts w:ascii="Bookman Old Style" w:hAnsi="Bookman Old Style"/>
          <w:sz w:val="24"/>
          <w:szCs w:val="24"/>
        </w:rPr>
        <w:t>τουρκολιβυκού</w:t>
      </w:r>
      <w:proofErr w:type="spellEnd"/>
      <w:r w:rsidR="00BE556A">
        <w:rPr>
          <w:rFonts w:ascii="Bookman Old Style" w:hAnsi="Bookman Old Style"/>
          <w:sz w:val="24"/>
          <w:szCs w:val="24"/>
        </w:rPr>
        <w:t xml:space="preserve"> μνημονίου»</w:t>
      </w:r>
      <w:r w:rsidR="006A1555">
        <w:rPr>
          <w:rFonts w:ascii="Bookman Old Style" w:hAnsi="Bookman Old Style"/>
          <w:sz w:val="24"/>
          <w:szCs w:val="24"/>
        </w:rPr>
        <w:t>,</w:t>
      </w:r>
      <w:r w:rsidR="00BE556A">
        <w:rPr>
          <w:rFonts w:ascii="Bookman Old Style" w:hAnsi="Bookman Old Style"/>
          <w:sz w:val="24"/>
          <w:szCs w:val="24"/>
        </w:rPr>
        <w:t xml:space="preserve"> είναι ιδίως οι διατάξεις του άρθρου 46 της Σύμβασης της Βιέννης -της Σύμβασης για το Δίκαιο των Συνθηκών μεταξύ Κρατών και Διεθνών Οργανισμών </w:t>
      </w:r>
      <w:r w:rsidR="006A1555">
        <w:rPr>
          <w:rFonts w:ascii="Bookman Old Style" w:hAnsi="Bookman Old Style"/>
          <w:sz w:val="24"/>
          <w:szCs w:val="24"/>
        </w:rPr>
        <w:t xml:space="preserve"> καθώς και μεταξύ Διεθνών Οργανισμών</w:t>
      </w:r>
      <w:r w:rsidR="00635F7E">
        <w:rPr>
          <w:rFonts w:ascii="Bookman Old Style" w:hAnsi="Bookman Old Style"/>
          <w:sz w:val="24"/>
          <w:szCs w:val="24"/>
        </w:rPr>
        <w:t xml:space="preserve"> της 21.3.1986, που επικυρώθηκε με τον ν. </w:t>
      </w:r>
      <w:r w:rsidR="0098728E">
        <w:rPr>
          <w:rFonts w:ascii="Bookman Old Style" w:hAnsi="Bookman Old Style"/>
          <w:sz w:val="24"/>
          <w:szCs w:val="24"/>
        </w:rPr>
        <w:t>1981</w:t>
      </w:r>
      <w:r w:rsidR="00635F7E">
        <w:rPr>
          <w:rFonts w:ascii="Bookman Old Style" w:hAnsi="Bookman Old Style"/>
          <w:sz w:val="24"/>
          <w:szCs w:val="24"/>
        </w:rPr>
        <w:t>/199</w:t>
      </w:r>
      <w:r w:rsidR="0098728E">
        <w:rPr>
          <w:rFonts w:ascii="Bookman Old Style" w:hAnsi="Bookman Old Style"/>
          <w:sz w:val="24"/>
          <w:szCs w:val="24"/>
        </w:rPr>
        <w:t>1</w:t>
      </w:r>
      <w:r w:rsidR="006A1555">
        <w:rPr>
          <w:rFonts w:ascii="Bookman Old Style" w:hAnsi="Bookman Old Style"/>
          <w:sz w:val="24"/>
          <w:szCs w:val="24"/>
        </w:rPr>
        <w:t xml:space="preserve">- </w:t>
      </w:r>
      <w:r w:rsidR="00BE556A">
        <w:rPr>
          <w:rFonts w:ascii="Bookman Old Style" w:hAnsi="Bookman Old Style"/>
          <w:sz w:val="24"/>
          <w:szCs w:val="24"/>
        </w:rPr>
        <w:t>κατά το μέρος τους εκείνο που ρυθμίζ</w:t>
      </w:r>
      <w:r w:rsidR="006A1555">
        <w:rPr>
          <w:rFonts w:ascii="Bookman Old Style" w:hAnsi="Bookman Old Style"/>
          <w:sz w:val="24"/>
          <w:szCs w:val="24"/>
        </w:rPr>
        <w:t>ει</w:t>
      </w:r>
      <w:r w:rsidR="00BE556A">
        <w:rPr>
          <w:rFonts w:ascii="Bookman Old Style" w:hAnsi="Bookman Old Style"/>
          <w:sz w:val="24"/>
          <w:szCs w:val="24"/>
        </w:rPr>
        <w:t xml:space="preserve"> την επιρροή, την οποία ασκούν επί του κύρους των Διεθνών Συνθηκών οι διατάξεις του εσωτερικού δικαίου των συμβαλλόμενων μερών.  </w:t>
      </w:r>
      <w:proofErr w:type="spellStart"/>
      <w:r w:rsidR="00BE556A">
        <w:rPr>
          <w:rFonts w:ascii="Bookman Old Style" w:hAnsi="Bookman Old Style"/>
          <w:sz w:val="24"/>
          <w:szCs w:val="24"/>
        </w:rPr>
        <w:t>Ερμηνευόμενες</w:t>
      </w:r>
      <w:proofErr w:type="spellEnd"/>
      <w:r w:rsidR="00BE556A">
        <w:rPr>
          <w:rFonts w:ascii="Bookman Old Style" w:hAnsi="Bookman Old Style"/>
          <w:sz w:val="24"/>
          <w:szCs w:val="24"/>
        </w:rPr>
        <w:t xml:space="preserve"> κατά το γράμμα και το πνεύμα τους, και με την συνδρομή του </w:t>
      </w:r>
      <w:r w:rsidR="00BE556A">
        <w:rPr>
          <w:rFonts w:ascii="Bookman Old Style" w:hAnsi="Bookman Old Style"/>
          <w:sz w:val="24"/>
          <w:szCs w:val="24"/>
          <w:lang w:val="en-US"/>
        </w:rPr>
        <w:t>argumentum</w:t>
      </w:r>
      <w:r w:rsidR="00BE556A" w:rsidRPr="00BE556A">
        <w:rPr>
          <w:rFonts w:ascii="Bookman Old Style" w:hAnsi="Bookman Old Style"/>
          <w:sz w:val="24"/>
          <w:szCs w:val="24"/>
        </w:rPr>
        <w:t xml:space="preserve"> </w:t>
      </w:r>
      <w:r w:rsidR="00BE556A">
        <w:rPr>
          <w:rFonts w:ascii="Bookman Old Style" w:hAnsi="Bookman Old Style"/>
          <w:sz w:val="24"/>
          <w:szCs w:val="24"/>
          <w:lang w:val="en-US"/>
        </w:rPr>
        <w:t>e</w:t>
      </w:r>
      <w:r w:rsidR="00BE556A" w:rsidRPr="00BE556A">
        <w:rPr>
          <w:rFonts w:ascii="Bookman Old Style" w:hAnsi="Bookman Old Style"/>
          <w:sz w:val="24"/>
          <w:szCs w:val="24"/>
        </w:rPr>
        <w:t xml:space="preserve"> </w:t>
      </w:r>
      <w:proofErr w:type="spellStart"/>
      <w:r w:rsidR="00BE556A">
        <w:rPr>
          <w:rFonts w:ascii="Bookman Old Style" w:hAnsi="Bookman Old Style"/>
          <w:sz w:val="24"/>
          <w:szCs w:val="24"/>
          <w:lang w:val="en-US"/>
        </w:rPr>
        <w:t>contrario</w:t>
      </w:r>
      <w:proofErr w:type="spellEnd"/>
      <w:r w:rsidR="00BE556A" w:rsidRPr="00BE556A">
        <w:rPr>
          <w:rFonts w:ascii="Bookman Old Style" w:hAnsi="Bookman Old Style"/>
          <w:sz w:val="24"/>
          <w:szCs w:val="24"/>
        </w:rPr>
        <w:t xml:space="preserve">, </w:t>
      </w:r>
      <w:r w:rsidR="00BE556A">
        <w:rPr>
          <w:rFonts w:ascii="Bookman Old Style" w:hAnsi="Bookman Old Style"/>
          <w:sz w:val="24"/>
          <w:szCs w:val="24"/>
        </w:rPr>
        <w:t xml:space="preserve">οι ως άνω διατάξεις οδηγούν </w:t>
      </w:r>
      <w:r w:rsidR="00635F7E">
        <w:rPr>
          <w:rFonts w:ascii="Bookman Old Style" w:hAnsi="Bookman Old Style"/>
          <w:sz w:val="24"/>
          <w:szCs w:val="24"/>
        </w:rPr>
        <w:t xml:space="preserve">στην συναγωγή και των </w:t>
      </w:r>
      <w:r w:rsidR="002D3F7D">
        <w:rPr>
          <w:rFonts w:ascii="Bookman Old Style" w:hAnsi="Bookman Old Style"/>
          <w:sz w:val="24"/>
          <w:szCs w:val="24"/>
        </w:rPr>
        <w:t>εξής</w:t>
      </w:r>
      <w:r w:rsidR="00635F7E">
        <w:rPr>
          <w:rFonts w:ascii="Bookman Old Style" w:hAnsi="Bookman Old Style"/>
          <w:sz w:val="24"/>
          <w:szCs w:val="24"/>
        </w:rPr>
        <w:t xml:space="preserve"> συμπερασμάτων:</w:t>
      </w:r>
    </w:p>
    <w:p w:rsidR="00BE556A" w:rsidRDefault="00BE556A" w:rsidP="00437265">
      <w:pPr>
        <w:pStyle w:val="a5"/>
        <w:numPr>
          <w:ilvl w:val="0"/>
          <w:numId w:val="2"/>
        </w:numPr>
        <w:spacing w:before="240" w:line="360" w:lineRule="auto"/>
        <w:ind w:left="851" w:hanging="284"/>
        <w:contextualSpacing w:val="0"/>
        <w:jc w:val="both"/>
        <w:rPr>
          <w:rFonts w:ascii="Bookman Old Style" w:hAnsi="Bookman Old Style"/>
          <w:b/>
          <w:sz w:val="24"/>
          <w:szCs w:val="24"/>
        </w:rPr>
      </w:pPr>
      <w:r>
        <w:rPr>
          <w:rFonts w:ascii="Bookman Old Style" w:hAnsi="Bookman Old Style"/>
          <w:b/>
          <w:sz w:val="24"/>
          <w:szCs w:val="24"/>
        </w:rPr>
        <w:t xml:space="preserve">Το </w:t>
      </w:r>
      <w:r w:rsidR="005D11CD">
        <w:rPr>
          <w:rFonts w:ascii="Bookman Old Style" w:hAnsi="Bookman Old Style"/>
          <w:b/>
          <w:sz w:val="24"/>
          <w:szCs w:val="24"/>
        </w:rPr>
        <w:t xml:space="preserve">κατ’ αποτέλεσμα </w:t>
      </w:r>
      <w:r>
        <w:rPr>
          <w:rFonts w:ascii="Bookman Old Style" w:hAnsi="Bookman Old Style"/>
          <w:b/>
          <w:sz w:val="24"/>
          <w:szCs w:val="24"/>
        </w:rPr>
        <w:t>ανυπόστατο μιας Διεθνούς Σύμβασης κατά την Σύμβαση της Βιέννης.</w:t>
      </w:r>
    </w:p>
    <w:p w:rsidR="00BE556A" w:rsidRPr="00123DDE" w:rsidRDefault="00BE556A" w:rsidP="00437265">
      <w:pPr>
        <w:pStyle w:val="a5"/>
        <w:spacing w:before="240" w:line="360" w:lineRule="auto"/>
        <w:ind w:left="851"/>
        <w:contextualSpacing w:val="0"/>
        <w:jc w:val="both"/>
        <w:rPr>
          <w:rFonts w:ascii="Bookman Old Style" w:hAnsi="Bookman Old Style"/>
          <w:sz w:val="24"/>
          <w:szCs w:val="24"/>
        </w:rPr>
      </w:pPr>
      <w:r>
        <w:rPr>
          <w:rFonts w:ascii="Bookman Old Style" w:hAnsi="Bookman Old Style"/>
          <w:sz w:val="24"/>
          <w:szCs w:val="24"/>
        </w:rPr>
        <w:t>Οι διατάξεις του άρθρου 46 παρ. 1 της Σύμβασης της Βιέννης παρέχουν σε κάθε διεθνώς συμβαλλόμενο Κράτος τη</w:t>
      </w:r>
      <w:r w:rsidR="006A1555">
        <w:rPr>
          <w:rFonts w:ascii="Bookman Old Style" w:hAnsi="Bookman Old Style"/>
          <w:sz w:val="24"/>
          <w:szCs w:val="24"/>
        </w:rPr>
        <w:t>ν</w:t>
      </w:r>
      <w:r>
        <w:rPr>
          <w:rFonts w:ascii="Bookman Old Style" w:hAnsi="Bookman Old Style"/>
          <w:sz w:val="24"/>
          <w:szCs w:val="24"/>
        </w:rPr>
        <w:t xml:space="preserve"> δυνατότητα να επικαλεσθεί, ύστερα από την σύναψη της οικείας Διεθνούς Σύμβασης, </w:t>
      </w:r>
      <w:r w:rsidR="006A1555">
        <w:rPr>
          <w:rFonts w:ascii="Bookman Old Style" w:hAnsi="Bookman Old Style"/>
          <w:sz w:val="24"/>
          <w:szCs w:val="24"/>
        </w:rPr>
        <w:t xml:space="preserve">και </w:t>
      </w:r>
      <w:r>
        <w:rPr>
          <w:rFonts w:ascii="Bookman Old Style" w:hAnsi="Bookman Old Style"/>
          <w:sz w:val="24"/>
          <w:szCs w:val="24"/>
        </w:rPr>
        <w:t>το ότι η συναίνεσή του να δεσμευθεί από αυτήν παρασχέθηκε εκ μέρους του κατά παράβαση διάταξης του εσωτερικού του δικαίου</w:t>
      </w:r>
      <w:r w:rsidR="00123DDE">
        <w:rPr>
          <w:rFonts w:ascii="Bookman Old Style" w:hAnsi="Bookman Old Style"/>
          <w:sz w:val="24"/>
          <w:szCs w:val="24"/>
        </w:rPr>
        <w:t>:</w:t>
      </w:r>
      <w:r>
        <w:rPr>
          <w:rFonts w:ascii="Bookman Old Style" w:hAnsi="Bookman Old Style"/>
          <w:sz w:val="24"/>
          <w:szCs w:val="24"/>
        </w:rPr>
        <w:t xml:space="preserve"> </w:t>
      </w:r>
      <w:r w:rsidR="00123DDE">
        <w:rPr>
          <w:rFonts w:ascii="Bookman Old Style" w:hAnsi="Bookman Old Style"/>
          <w:sz w:val="24"/>
          <w:szCs w:val="24"/>
        </w:rPr>
        <w:t xml:space="preserve">«1. </w:t>
      </w:r>
      <w:r w:rsidR="00123DDE">
        <w:rPr>
          <w:rFonts w:ascii="Bookman Old Style" w:hAnsi="Bookman Old Style"/>
          <w:i/>
          <w:sz w:val="24"/>
          <w:szCs w:val="24"/>
        </w:rPr>
        <w:t xml:space="preserve">Κράτος δεν μπορεί να επικαλεσθεί το γεγονός ότι η συναίνεσή του να δεσμευθεί από τη συνθήκη </w:t>
      </w:r>
      <w:proofErr w:type="spellStart"/>
      <w:r w:rsidR="00123DDE">
        <w:rPr>
          <w:rFonts w:ascii="Bookman Old Style" w:hAnsi="Bookman Old Style"/>
          <w:i/>
          <w:sz w:val="24"/>
          <w:szCs w:val="24"/>
        </w:rPr>
        <w:t>εδόθη</w:t>
      </w:r>
      <w:proofErr w:type="spellEnd"/>
      <w:r w:rsidR="00123DDE">
        <w:rPr>
          <w:rFonts w:ascii="Bookman Old Style" w:hAnsi="Bookman Old Style"/>
          <w:i/>
          <w:sz w:val="24"/>
          <w:szCs w:val="24"/>
        </w:rPr>
        <w:t xml:space="preserve"> κατά παραβίαση διατάξεως του εσωτερικού του δικαίου, σχετικής με την αρμοδιότητα συνομολογήσεως συνθηκών ως ελάττωμα της </w:t>
      </w:r>
      <w:r w:rsidR="00123DDE">
        <w:rPr>
          <w:rFonts w:ascii="Bookman Old Style" w:hAnsi="Bookman Old Style"/>
          <w:i/>
          <w:sz w:val="24"/>
          <w:szCs w:val="24"/>
        </w:rPr>
        <w:lastRenderedPageBreak/>
        <w:t>συναινέσεώς του, εκτός εάν η παραβίαση αυτή ήταν έκδηλη και αφορούσε κανόνα εσωτερικού δικαίου θεμελιώδους σημασίας».</w:t>
      </w:r>
    </w:p>
    <w:p w:rsidR="00BE556A" w:rsidRDefault="00BE556A" w:rsidP="00437265">
      <w:pPr>
        <w:pStyle w:val="a5"/>
        <w:spacing w:before="240" w:line="360" w:lineRule="auto"/>
        <w:ind w:left="1134" w:hanging="283"/>
        <w:contextualSpacing w:val="0"/>
        <w:jc w:val="both"/>
        <w:rPr>
          <w:rFonts w:ascii="Bookman Old Style" w:hAnsi="Bookman Old Style"/>
          <w:sz w:val="24"/>
          <w:szCs w:val="24"/>
        </w:rPr>
      </w:pPr>
      <w:r>
        <w:rPr>
          <w:rFonts w:ascii="Bookman Old Style" w:hAnsi="Bookman Old Style"/>
          <w:b/>
          <w:sz w:val="24"/>
          <w:szCs w:val="24"/>
        </w:rPr>
        <w:t xml:space="preserve">α) </w:t>
      </w:r>
      <w:r>
        <w:rPr>
          <w:rFonts w:ascii="Bookman Old Style" w:hAnsi="Bookman Old Style"/>
          <w:sz w:val="24"/>
          <w:szCs w:val="24"/>
        </w:rPr>
        <w:t>Μια τέτοια όμως επί</w:t>
      </w:r>
      <w:r w:rsidR="006A1555">
        <w:rPr>
          <w:rFonts w:ascii="Bookman Old Style" w:hAnsi="Bookman Old Style"/>
          <w:sz w:val="24"/>
          <w:szCs w:val="24"/>
        </w:rPr>
        <w:t>κλ</w:t>
      </w:r>
      <w:r w:rsidR="001560DE">
        <w:rPr>
          <w:rFonts w:ascii="Bookman Old Style" w:hAnsi="Bookman Old Style"/>
          <w:sz w:val="24"/>
          <w:szCs w:val="24"/>
        </w:rPr>
        <w:t>η</w:t>
      </w:r>
      <w:r>
        <w:rPr>
          <w:rFonts w:ascii="Bookman Old Style" w:hAnsi="Bookman Old Style"/>
          <w:sz w:val="24"/>
          <w:szCs w:val="24"/>
        </w:rPr>
        <w:t>ση</w:t>
      </w:r>
      <w:r w:rsidR="000146E9">
        <w:rPr>
          <w:rFonts w:ascii="Bookman Old Style" w:hAnsi="Bookman Old Style"/>
          <w:sz w:val="24"/>
          <w:szCs w:val="24"/>
        </w:rPr>
        <w:t>, πάντοτε κατά τις διατάξεις του άρθρου 46 παρ. 1 της Σύμβασης της Βιέννης, είναι κανονιστικώς έγκυρη και παράγει τ’ ανάλογα έννομα αποτελέσματα</w:t>
      </w:r>
      <w:r w:rsidR="005D11CD">
        <w:rPr>
          <w:rFonts w:ascii="Bookman Old Style" w:hAnsi="Bookman Old Style"/>
          <w:sz w:val="24"/>
          <w:szCs w:val="24"/>
        </w:rPr>
        <w:t>,</w:t>
      </w:r>
      <w:r w:rsidR="000146E9">
        <w:rPr>
          <w:rFonts w:ascii="Bookman Old Style" w:hAnsi="Bookman Old Style"/>
          <w:sz w:val="24"/>
          <w:szCs w:val="24"/>
        </w:rPr>
        <w:t xml:space="preserve"> ως προς την εφεξής μη δέσμευσ</w:t>
      </w:r>
      <w:r w:rsidR="006A1555">
        <w:rPr>
          <w:rFonts w:ascii="Bookman Old Style" w:hAnsi="Bookman Old Style"/>
          <w:sz w:val="24"/>
          <w:szCs w:val="24"/>
        </w:rPr>
        <w:t>η</w:t>
      </w:r>
      <w:r w:rsidR="000146E9">
        <w:rPr>
          <w:rFonts w:ascii="Bookman Old Style" w:hAnsi="Bookman Old Style"/>
          <w:sz w:val="24"/>
          <w:szCs w:val="24"/>
        </w:rPr>
        <w:t xml:space="preserve"> του</w:t>
      </w:r>
      <w:r w:rsidR="006A1555">
        <w:rPr>
          <w:rFonts w:ascii="Bookman Old Style" w:hAnsi="Bookman Old Style"/>
          <w:sz w:val="24"/>
          <w:szCs w:val="24"/>
        </w:rPr>
        <w:t xml:space="preserve"> συμβαλλόμενου Κράτους</w:t>
      </w:r>
      <w:r w:rsidR="000146E9">
        <w:rPr>
          <w:rFonts w:ascii="Bookman Old Style" w:hAnsi="Bookman Old Style"/>
          <w:sz w:val="24"/>
          <w:szCs w:val="24"/>
        </w:rPr>
        <w:t xml:space="preserve"> από την οικεία Διεθνή Σύμβαση</w:t>
      </w:r>
      <w:r w:rsidR="005D11CD">
        <w:rPr>
          <w:rFonts w:ascii="Bookman Old Style" w:hAnsi="Bookman Old Style"/>
          <w:sz w:val="24"/>
          <w:szCs w:val="24"/>
        </w:rPr>
        <w:t>,</w:t>
      </w:r>
      <w:r w:rsidR="000146E9">
        <w:rPr>
          <w:rFonts w:ascii="Bookman Old Style" w:hAnsi="Bookman Old Style"/>
          <w:sz w:val="24"/>
          <w:szCs w:val="24"/>
        </w:rPr>
        <w:t xml:space="preserve"> μόνον εφόσον η κατά τ’ ανωτέρω παραβίαση</w:t>
      </w:r>
      <w:r w:rsidR="00572048">
        <w:rPr>
          <w:rFonts w:ascii="Bookman Old Style" w:hAnsi="Bookman Old Style"/>
          <w:sz w:val="24"/>
          <w:szCs w:val="24"/>
        </w:rPr>
        <w:t xml:space="preserve"> είναι έκδηλη και </w:t>
      </w:r>
      <w:r w:rsidR="000146E9">
        <w:rPr>
          <w:rFonts w:ascii="Bookman Old Style" w:hAnsi="Bookman Old Style"/>
          <w:sz w:val="24"/>
          <w:szCs w:val="24"/>
        </w:rPr>
        <w:t xml:space="preserve"> αφορά κανόνα του εσωτερικού δικαίου «θεμελιώδους σημασίας»</w:t>
      </w:r>
      <w:r w:rsidR="00662432">
        <w:rPr>
          <w:rFonts w:ascii="Bookman Old Style" w:hAnsi="Bookman Old Style"/>
          <w:sz w:val="24"/>
          <w:szCs w:val="24"/>
        </w:rPr>
        <w:t>, σχετιζόμενο με την διατύπωση της συναίνεσής του.</w:t>
      </w:r>
      <w:r w:rsidR="000146E9">
        <w:rPr>
          <w:rFonts w:ascii="Bookman Old Style" w:hAnsi="Bookman Old Style"/>
          <w:sz w:val="24"/>
          <w:szCs w:val="24"/>
        </w:rPr>
        <w:t xml:space="preserve"> </w:t>
      </w:r>
      <w:r w:rsidR="00437265">
        <w:rPr>
          <w:rFonts w:ascii="Bookman Old Style" w:hAnsi="Bookman Old Style"/>
          <w:sz w:val="24"/>
          <w:szCs w:val="24"/>
        </w:rPr>
        <w:t xml:space="preserve">Και ναι μεν οι προμνημονευόμενες διατάξεις του άρθρου 46 παρ. 1 της Συνθήκης της Βιέννης δεν υπεισέρχονται σε λεπτομέρειες ως προς το ποιος κανόνας του εσωτερικού δικαίου του συμβαλλόμενου Κράτους </w:t>
      </w:r>
      <w:r w:rsidR="006A1555">
        <w:rPr>
          <w:rFonts w:ascii="Bookman Old Style" w:hAnsi="Bookman Old Style"/>
          <w:sz w:val="24"/>
          <w:szCs w:val="24"/>
        </w:rPr>
        <w:t xml:space="preserve">μπορεί να </w:t>
      </w:r>
      <w:r w:rsidR="00437265">
        <w:rPr>
          <w:rFonts w:ascii="Bookman Old Style" w:hAnsi="Bookman Old Style"/>
          <w:sz w:val="24"/>
          <w:szCs w:val="24"/>
        </w:rPr>
        <w:t xml:space="preserve">είναι «θεμελιώδους σημασίας», πλην όμως τούτο προκύπτει ιδίως </w:t>
      </w:r>
      <w:r w:rsidR="005D11CD">
        <w:rPr>
          <w:rFonts w:ascii="Bookman Old Style" w:hAnsi="Bookman Old Style"/>
          <w:sz w:val="24"/>
          <w:szCs w:val="24"/>
        </w:rPr>
        <w:t>από τ</w:t>
      </w:r>
      <w:r w:rsidR="001560DE">
        <w:rPr>
          <w:rFonts w:ascii="Bookman Old Style" w:hAnsi="Bookman Old Style"/>
          <w:sz w:val="24"/>
          <w:szCs w:val="24"/>
        </w:rPr>
        <w:t>ο</w:t>
      </w:r>
      <w:r w:rsidR="005D11CD">
        <w:rPr>
          <w:rFonts w:ascii="Bookman Old Style" w:hAnsi="Bookman Old Style"/>
          <w:sz w:val="24"/>
          <w:szCs w:val="24"/>
        </w:rPr>
        <w:t>ν συνδυασμό των κανόνων</w:t>
      </w:r>
      <w:r w:rsidR="00437265">
        <w:rPr>
          <w:rFonts w:ascii="Bookman Old Style" w:hAnsi="Bookman Old Style"/>
          <w:sz w:val="24"/>
          <w:szCs w:val="24"/>
        </w:rPr>
        <w:t xml:space="preserve"> του εσωτερικού και του Διεθνούς Δικαίου, οι οποίοι διέπουν την σύναψη των Διεθνών Συμβάσεων. </w:t>
      </w:r>
    </w:p>
    <w:p w:rsidR="00437265" w:rsidRDefault="00437265" w:rsidP="00437265">
      <w:pPr>
        <w:pStyle w:val="a5"/>
        <w:spacing w:before="240" w:line="360" w:lineRule="auto"/>
        <w:ind w:left="1134" w:hanging="283"/>
        <w:contextualSpacing w:val="0"/>
        <w:jc w:val="both"/>
        <w:rPr>
          <w:rFonts w:ascii="Bookman Old Style" w:hAnsi="Bookman Old Style"/>
          <w:sz w:val="24"/>
          <w:szCs w:val="24"/>
        </w:rPr>
      </w:pPr>
      <w:r>
        <w:rPr>
          <w:rFonts w:ascii="Bookman Old Style" w:hAnsi="Bookman Old Style"/>
          <w:b/>
          <w:sz w:val="24"/>
          <w:szCs w:val="24"/>
        </w:rPr>
        <w:t xml:space="preserve">β) </w:t>
      </w:r>
      <w:r>
        <w:rPr>
          <w:rFonts w:ascii="Bookman Old Style" w:hAnsi="Bookman Old Style"/>
          <w:sz w:val="24"/>
          <w:szCs w:val="24"/>
        </w:rPr>
        <w:t xml:space="preserve">Εν προκειμένω, «θεμελιώδους σημασίας», με βάση τα διεθνώς ισχύοντα και κατά το πνεύμα της νομολογίας του Διεθνούς Δικαστηρίου της Χάγης, είναι κατ’ εξοχήν οι κανόνες εκείνοι του εσωτερικού δικαίου του συμβαλλόμενου Κράτους, </w:t>
      </w:r>
      <w:r w:rsidR="006A1555">
        <w:rPr>
          <w:rFonts w:ascii="Bookman Old Style" w:hAnsi="Bookman Old Style"/>
          <w:sz w:val="24"/>
          <w:szCs w:val="24"/>
        </w:rPr>
        <w:t>που</w:t>
      </w:r>
      <w:r>
        <w:rPr>
          <w:rFonts w:ascii="Bookman Old Style" w:hAnsi="Bookman Old Style"/>
          <w:sz w:val="24"/>
          <w:szCs w:val="24"/>
        </w:rPr>
        <w:t xml:space="preserve"> προσδιορίζουν τα αρμόδια κρατικά όργανα, τα οποία πρέπει να </w:t>
      </w:r>
      <w:r w:rsidR="00572048">
        <w:rPr>
          <w:rFonts w:ascii="Bookman Old Style" w:hAnsi="Bookman Old Style"/>
          <w:sz w:val="24"/>
          <w:szCs w:val="24"/>
        </w:rPr>
        <w:t xml:space="preserve">συναινέσουν και να </w:t>
      </w:r>
      <w:r>
        <w:rPr>
          <w:rFonts w:ascii="Bookman Old Style" w:hAnsi="Bookman Old Style"/>
          <w:sz w:val="24"/>
          <w:szCs w:val="24"/>
        </w:rPr>
        <w:t xml:space="preserve">συμπράξουν ώστε να </w:t>
      </w:r>
      <w:r w:rsidR="006A1555">
        <w:rPr>
          <w:rFonts w:ascii="Bookman Old Style" w:hAnsi="Bookman Old Style"/>
          <w:sz w:val="24"/>
          <w:szCs w:val="24"/>
        </w:rPr>
        <w:t>διατυπωθεί</w:t>
      </w:r>
      <w:r>
        <w:rPr>
          <w:rFonts w:ascii="Bookman Old Style" w:hAnsi="Bookman Old Style"/>
          <w:sz w:val="24"/>
          <w:szCs w:val="24"/>
        </w:rPr>
        <w:t>, εκ μέρους του Κράτους τούτου, έγκυρη και δεσμευτική δήλωση βούλησης για την σύν</w:t>
      </w:r>
      <w:r w:rsidR="006A1555">
        <w:rPr>
          <w:rFonts w:ascii="Bookman Old Style" w:hAnsi="Bookman Old Style"/>
          <w:sz w:val="24"/>
          <w:szCs w:val="24"/>
        </w:rPr>
        <w:t>αψη</w:t>
      </w:r>
      <w:r>
        <w:rPr>
          <w:rFonts w:ascii="Bookman Old Style" w:hAnsi="Bookman Old Style"/>
          <w:sz w:val="24"/>
          <w:szCs w:val="24"/>
        </w:rPr>
        <w:t xml:space="preserve"> της Διεθνούς Σύμβασης.  Η διαπίστωση αυτή συνάγεται από το ότι, όπως άλλωστε προκύπτει και από την θεωρία αλλά και από την νομολογία στο πλαίσιο του Διεθνούς Δικαίου, κάθε Διεθνής Σύμβαση στηρίζεται στα βασικά χαρακτηριστικά της έννοιας και των συστατικών στοιχείων της σύμβασης ως διμερούς</w:t>
      </w:r>
      <w:r w:rsidR="006E41B0">
        <w:rPr>
          <w:rFonts w:ascii="Bookman Old Style" w:hAnsi="Bookman Old Style"/>
          <w:sz w:val="24"/>
          <w:szCs w:val="24"/>
        </w:rPr>
        <w:t xml:space="preserve"> -και δη αμφοτεροβαρούς- δικαιοπραξίας</w:t>
      </w:r>
      <w:r w:rsidR="005D11CD">
        <w:rPr>
          <w:rFonts w:ascii="Bookman Old Style" w:hAnsi="Bookman Old Style"/>
          <w:sz w:val="24"/>
          <w:szCs w:val="24"/>
        </w:rPr>
        <w:t xml:space="preserve">. Εάν λοιπόν κατά την σύναψη μιας σύμβασης δεν έχουν τηρηθεί οι κανόνες αναφορικά με την έγκυρη διατύπωση </w:t>
      </w:r>
      <w:r w:rsidR="005D11CD">
        <w:rPr>
          <w:rFonts w:ascii="Bookman Old Style" w:hAnsi="Bookman Old Style"/>
          <w:sz w:val="24"/>
          <w:szCs w:val="24"/>
        </w:rPr>
        <w:lastRenderedPageBreak/>
        <w:t xml:space="preserve">της απαιτούμενης </w:t>
      </w:r>
      <w:r w:rsidR="00635F7E">
        <w:rPr>
          <w:rFonts w:ascii="Bookman Old Style" w:hAnsi="Bookman Old Style"/>
          <w:sz w:val="24"/>
          <w:szCs w:val="24"/>
        </w:rPr>
        <w:t>δήλωσης</w:t>
      </w:r>
      <w:r w:rsidR="005D11CD">
        <w:rPr>
          <w:rFonts w:ascii="Bookman Old Style" w:hAnsi="Bookman Old Style"/>
          <w:sz w:val="24"/>
          <w:szCs w:val="24"/>
        </w:rPr>
        <w:t xml:space="preserve"> βούλησης, τότε αυτή </w:t>
      </w:r>
      <w:r w:rsidR="006E41B0">
        <w:rPr>
          <w:rFonts w:ascii="Bookman Old Style" w:hAnsi="Bookman Old Style"/>
          <w:sz w:val="24"/>
          <w:szCs w:val="24"/>
        </w:rPr>
        <w:t xml:space="preserve">η σύμβαση -άρα και η Διεθνής Σύμβαση, πάντα κατά τους κανόνες του Διεθνούς Δικαίου και </w:t>
      </w:r>
      <w:r w:rsidR="00635F7E">
        <w:rPr>
          <w:rFonts w:ascii="Bookman Old Style" w:hAnsi="Bookman Old Style"/>
          <w:sz w:val="24"/>
          <w:szCs w:val="24"/>
        </w:rPr>
        <w:t xml:space="preserve">κατά την </w:t>
      </w:r>
      <w:r w:rsidR="006E41B0">
        <w:rPr>
          <w:rFonts w:ascii="Bookman Old Style" w:hAnsi="Bookman Old Style"/>
          <w:sz w:val="24"/>
          <w:szCs w:val="24"/>
        </w:rPr>
        <w:t>νομολογία του Διεθνούς Δικαστηρίου της Χάγης- καθίσταται</w:t>
      </w:r>
      <w:r w:rsidR="005D11CD">
        <w:rPr>
          <w:rFonts w:ascii="Bookman Old Style" w:hAnsi="Bookman Old Style"/>
          <w:sz w:val="24"/>
          <w:szCs w:val="24"/>
        </w:rPr>
        <w:t>, αναλόγως,</w:t>
      </w:r>
      <w:r w:rsidR="006E41B0">
        <w:rPr>
          <w:rFonts w:ascii="Bookman Old Style" w:hAnsi="Bookman Old Style"/>
          <w:sz w:val="24"/>
          <w:szCs w:val="24"/>
        </w:rPr>
        <w:t xml:space="preserve"> άκυρη, ακυρώσιμη ή και ανυπόστατη.  Χαρακτηριστικό δε παράδειγμα ανυπόστατης δήλωσης βούλησης είναι εκείνο, στο πεδίο του οποίο</w:t>
      </w:r>
      <w:r w:rsidR="005D11CD">
        <w:rPr>
          <w:rFonts w:ascii="Bookman Old Style" w:hAnsi="Bookman Old Style"/>
          <w:sz w:val="24"/>
          <w:szCs w:val="24"/>
        </w:rPr>
        <w:t>υ</w:t>
      </w:r>
      <w:r w:rsidR="006E41B0">
        <w:rPr>
          <w:rFonts w:ascii="Bookman Old Style" w:hAnsi="Bookman Old Style"/>
          <w:sz w:val="24"/>
          <w:szCs w:val="24"/>
        </w:rPr>
        <w:t xml:space="preserve"> το αντισυμβαλλόμενο μέρος</w:t>
      </w:r>
      <w:r w:rsidR="006A1555">
        <w:rPr>
          <w:rFonts w:ascii="Bookman Old Style" w:hAnsi="Bookman Old Style"/>
          <w:sz w:val="24"/>
          <w:szCs w:val="24"/>
        </w:rPr>
        <w:t xml:space="preserve"> είτε</w:t>
      </w:r>
      <w:r w:rsidR="006E41B0">
        <w:rPr>
          <w:rFonts w:ascii="Bookman Old Style" w:hAnsi="Bookman Old Style"/>
          <w:sz w:val="24"/>
          <w:szCs w:val="24"/>
        </w:rPr>
        <w:t xml:space="preserve"> δεν έχει εκφράσει καν δήλωση βούλησης, κυρίως διότι ουδόλως την διατύπωσε </w:t>
      </w:r>
      <w:r w:rsidR="006A1555">
        <w:rPr>
          <w:rFonts w:ascii="Bookman Old Style" w:hAnsi="Bookman Old Style"/>
          <w:sz w:val="24"/>
          <w:szCs w:val="24"/>
        </w:rPr>
        <w:t>είτε,</w:t>
      </w:r>
      <w:r w:rsidR="006E41B0">
        <w:rPr>
          <w:rFonts w:ascii="Bookman Old Style" w:hAnsi="Bookman Old Style"/>
          <w:sz w:val="24"/>
          <w:szCs w:val="24"/>
        </w:rPr>
        <w:t xml:space="preserve"> ακόμη περισσότερο, έχει διατυπώσει αρνητική δήλωση βούλησης ως προς την σύναψη της σύμβασης. </w:t>
      </w:r>
    </w:p>
    <w:p w:rsidR="006E41B0" w:rsidRDefault="006E41B0" w:rsidP="00437265">
      <w:pPr>
        <w:pStyle w:val="a5"/>
        <w:spacing w:before="240" w:line="360" w:lineRule="auto"/>
        <w:ind w:left="1134" w:hanging="283"/>
        <w:contextualSpacing w:val="0"/>
        <w:jc w:val="both"/>
        <w:rPr>
          <w:rFonts w:ascii="Bookman Old Style" w:hAnsi="Bookman Old Style"/>
          <w:sz w:val="24"/>
          <w:szCs w:val="24"/>
        </w:rPr>
      </w:pPr>
      <w:r>
        <w:rPr>
          <w:rFonts w:ascii="Bookman Old Style" w:hAnsi="Bookman Old Style"/>
          <w:b/>
          <w:sz w:val="24"/>
          <w:szCs w:val="24"/>
        </w:rPr>
        <w:t xml:space="preserve">γ) </w:t>
      </w:r>
      <w:r>
        <w:rPr>
          <w:rFonts w:ascii="Bookman Old Style" w:hAnsi="Bookman Old Style"/>
          <w:sz w:val="24"/>
          <w:szCs w:val="24"/>
        </w:rPr>
        <w:t xml:space="preserve">Εκ των ανωτέρω </w:t>
      </w:r>
      <w:r w:rsidR="005D11CD">
        <w:rPr>
          <w:rFonts w:ascii="Bookman Old Style" w:hAnsi="Bookman Old Style"/>
          <w:sz w:val="24"/>
          <w:szCs w:val="24"/>
        </w:rPr>
        <w:t>προκύπτει πως</w:t>
      </w:r>
      <w:r>
        <w:rPr>
          <w:rFonts w:ascii="Bookman Old Style" w:hAnsi="Bookman Old Style"/>
          <w:sz w:val="24"/>
          <w:szCs w:val="24"/>
        </w:rPr>
        <w:t xml:space="preserve">, πάντοτε κατά το γράμμα και το πνεύμα των διατάξεων του άρθρου 46 παρ. 1 της Σύμβασης της Βιέννης, ένα Κράτος μπορεί να </w:t>
      </w:r>
      <w:r w:rsidR="00B503C4">
        <w:rPr>
          <w:rFonts w:ascii="Bookman Old Style" w:hAnsi="Bookman Old Style"/>
          <w:sz w:val="24"/>
          <w:szCs w:val="24"/>
        </w:rPr>
        <w:t>επικαλεσθεί, μετά την σύναψη Διεθνούς Σύμβασης</w:t>
      </w:r>
      <w:r w:rsidR="006A1555">
        <w:rPr>
          <w:rFonts w:ascii="Bookman Old Style" w:hAnsi="Bookman Old Style"/>
          <w:sz w:val="24"/>
          <w:szCs w:val="24"/>
        </w:rPr>
        <w:t>,</w:t>
      </w:r>
      <w:r w:rsidR="00B503C4">
        <w:rPr>
          <w:rFonts w:ascii="Bookman Old Style" w:hAnsi="Bookman Old Style"/>
          <w:sz w:val="24"/>
          <w:szCs w:val="24"/>
        </w:rPr>
        <w:t xml:space="preserve"> ότι δεν δεσμεύεται από αυτή επειδή δεν έχει εκφράσει έγκυρη δήλωση βούλησης σύναψής της, δοθέντος ότι δεν </w:t>
      </w:r>
      <w:r w:rsidR="00373133">
        <w:rPr>
          <w:rFonts w:ascii="Bookman Old Style" w:hAnsi="Bookman Old Style"/>
          <w:sz w:val="24"/>
          <w:szCs w:val="24"/>
        </w:rPr>
        <w:t xml:space="preserve">συναίνεσαν και δεν </w:t>
      </w:r>
      <w:r w:rsidR="00B503C4">
        <w:rPr>
          <w:rFonts w:ascii="Bookman Old Style" w:hAnsi="Bookman Old Style"/>
          <w:sz w:val="24"/>
          <w:szCs w:val="24"/>
        </w:rPr>
        <w:t>συνέπραξαν</w:t>
      </w:r>
      <w:r w:rsidR="00373133">
        <w:rPr>
          <w:rFonts w:ascii="Bookman Old Style" w:hAnsi="Bookman Old Style"/>
          <w:sz w:val="24"/>
          <w:szCs w:val="24"/>
        </w:rPr>
        <w:t>,</w:t>
      </w:r>
      <w:r w:rsidR="00B503C4">
        <w:rPr>
          <w:rFonts w:ascii="Bookman Old Style" w:hAnsi="Bookman Old Style"/>
          <w:sz w:val="24"/>
          <w:szCs w:val="24"/>
        </w:rPr>
        <w:t xml:space="preserve"> ως προς την διατύπωση της δήλωσης βούλησης</w:t>
      </w:r>
      <w:r w:rsidR="00373133">
        <w:rPr>
          <w:rFonts w:ascii="Bookman Old Style" w:hAnsi="Bookman Old Style"/>
          <w:sz w:val="24"/>
          <w:szCs w:val="24"/>
        </w:rPr>
        <w:t>,</w:t>
      </w:r>
      <w:r w:rsidR="00B503C4">
        <w:rPr>
          <w:rFonts w:ascii="Bookman Old Style" w:hAnsi="Bookman Old Style"/>
          <w:sz w:val="24"/>
          <w:szCs w:val="24"/>
        </w:rPr>
        <w:t xml:space="preserve"> τα αρμόδια κατά το εσωτερικό</w:t>
      </w:r>
      <w:r w:rsidR="005D11CD">
        <w:rPr>
          <w:rFonts w:ascii="Bookman Old Style" w:hAnsi="Bookman Old Style"/>
          <w:sz w:val="24"/>
          <w:szCs w:val="24"/>
        </w:rPr>
        <w:t xml:space="preserve"> του</w:t>
      </w:r>
      <w:r w:rsidR="00B503C4">
        <w:rPr>
          <w:rFonts w:ascii="Bookman Old Style" w:hAnsi="Bookman Old Style"/>
          <w:sz w:val="24"/>
          <w:szCs w:val="24"/>
        </w:rPr>
        <w:t xml:space="preserve"> δίκαιο κρατικά όργανα.  Και τούτο διότι, κατά τα </w:t>
      </w:r>
      <w:proofErr w:type="spellStart"/>
      <w:r w:rsidR="00B503C4">
        <w:rPr>
          <w:rFonts w:ascii="Bookman Old Style" w:hAnsi="Bookman Old Style"/>
          <w:sz w:val="24"/>
          <w:szCs w:val="24"/>
        </w:rPr>
        <w:t>προλεχθέντα</w:t>
      </w:r>
      <w:proofErr w:type="spellEnd"/>
      <w:r w:rsidR="00B503C4">
        <w:rPr>
          <w:rFonts w:ascii="Bookman Old Style" w:hAnsi="Bookman Old Style"/>
          <w:sz w:val="24"/>
          <w:szCs w:val="24"/>
        </w:rPr>
        <w:t>, κατ’ εξοχήν «θεμελιώδ</w:t>
      </w:r>
      <w:r w:rsidR="00672311">
        <w:rPr>
          <w:rFonts w:ascii="Bookman Old Style" w:hAnsi="Bookman Old Style"/>
          <w:sz w:val="24"/>
          <w:szCs w:val="24"/>
        </w:rPr>
        <w:t>ους</w:t>
      </w:r>
      <w:r w:rsidR="00B503C4">
        <w:rPr>
          <w:rFonts w:ascii="Bookman Old Style" w:hAnsi="Bookman Old Style"/>
          <w:sz w:val="24"/>
          <w:szCs w:val="24"/>
        </w:rPr>
        <w:t xml:space="preserve"> </w:t>
      </w:r>
      <w:r w:rsidR="00672311">
        <w:rPr>
          <w:rFonts w:ascii="Bookman Old Style" w:hAnsi="Bookman Old Style"/>
          <w:sz w:val="24"/>
          <w:szCs w:val="24"/>
        </w:rPr>
        <w:t>σημασίας»</w:t>
      </w:r>
      <w:r w:rsidR="00373133">
        <w:rPr>
          <w:rFonts w:ascii="Bookman Old Style" w:hAnsi="Bookman Old Style"/>
          <w:sz w:val="24"/>
          <w:szCs w:val="24"/>
        </w:rPr>
        <w:t>, κατά τις διατάξεις του άρθρου 46 παρ. 1 της Συνθήκης της Βιέννης,</w:t>
      </w:r>
      <w:r w:rsidR="00672311">
        <w:rPr>
          <w:rFonts w:ascii="Bookman Old Style" w:hAnsi="Bookman Old Style"/>
          <w:sz w:val="24"/>
          <w:szCs w:val="24"/>
        </w:rPr>
        <w:t xml:space="preserve">  είναι οι κανόνες του εσωτερικού δικαίου, που προσδιορίζουν τα όργανα, εκ των οποίων εκπορεύεται η δήλωση βούλησης για την σύναψη Διεθνούς Σύμβασης. </w:t>
      </w:r>
    </w:p>
    <w:p w:rsidR="00672311" w:rsidRDefault="00672311" w:rsidP="00437265">
      <w:pPr>
        <w:pStyle w:val="a5"/>
        <w:spacing w:before="240" w:line="360" w:lineRule="auto"/>
        <w:ind w:left="1134" w:hanging="283"/>
        <w:contextualSpacing w:val="0"/>
        <w:jc w:val="both"/>
        <w:rPr>
          <w:rFonts w:ascii="Bookman Old Style" w:hAnsi="Bookman Old Style"/>
          <w:sz w:val="24"/>
          <w:szCs w:val="24"/>
        </w:rPr>
      </w:pPr>
      <w:r>
        <w:rPr>
          <w:rFonts w:ascii="Bookman Old Style" w:hAnsi="Bookman Old Style"/>
          <w:b/>
          <w:sz w:val="24"/>
          <w:szCs w:val="24"/>
        </w:rPr>
        <w:t xml:space="preserve">δ) </w:t>
      </w:r>
      <w:r>
        <w:rPr>
          <w:rFonts w:ascii="Bookman Old Style" w:hAnsi="Bookman Old Style"/>
          <w:sz w:val="24"/>
          <w:szCs w:val="24"/>
        </w:rPr>
        <w:t>Συνακόλουθα</w:t>
      </w:r>
      <w:r w:rsidR="006A1555">
        <w:rPr>
          <w:rFonts w:ascii="Bookman Old Style" w:hAnsi="Bookman Old Style"/>
          <w:sz w:val="24"/>
          <w:szCs w:val="24"/>
        </w:rPr>
        <w:t>,</w:t>
      </w:r>
      <w:r>
        <w:rPr>
          <w:rFonts w:ascii="Bookman Old Style" w:hAnsi="Bookman Old Style"/>
          <w:sz w:val="24"/>
          <w:szCs w:val="24"/>
        </w:rPr>
        <w:t xml:space="preserve"> Διεθνής Σύμβαση </w:t>
      </w:r>
      <w:r w:rsidR="006A1555">
        <w:rPr>
          <w:rFonts w:ascii="Bookman Old Style" w:hAnsi="Bookman Old Style"/>
          <w:sz w:val="24"/>
          <w:szCs w:val="24"/>
        </w:rPr>
        <w:t>που</w:t>
      </w:r>
      <w:r>
        <w:rPr>
          <w:rFonts w:ascii="Bookman Old Style" w:hAnsi="Bookman Old Style"/>
          <w:sz w:val="24"/>
          <w:szCs w:val="24"/>
        </w:rPr>
        <w:t xml:space="preserve"> ενέχει τα ως άνω νομικά ελαττώματα, τα οποία κατά τις διατάξεις του άρθρου 46 παρ. 1 της Σύμβασης της Βιέννης παρέχουν στο αντισυμβαλλόμενο Κράτος την δυνατότητα υπαναχώρησης και μη δέσμευσης εξ αυτής, είναι προφανές πως δεν καθίσταται απλώς άκυρη -</w:t>
      </w:r>
      <w:proofErr w:type="spellStart"/>
      <w:r>
        <w:rPr>
          <w:rFonts w:ascii="Bookman Old Style" w:hAnsi="Bookman Old Style"/>
          <w:sz w:val="24"/>
          <w:szCs w:val="24"/>
        </w:rPr>
        <w:t>πολλώ</w:t>
      </w:r>
      <w:proofErr w:type="spellEnd"/>
      <w:r>
        <w:rPr>
          <w:rFonts w:ascii="Bookman Old Style" w:hAnsi="Bookman Old Style"/>
          <w:sz w:val="24"/>
          <w:szCs w:val="24"/>
        </w:rPr>
        <w:t xml:space="preserve"> δε μάλλον </w:t>
      </w:r>
      <w:r w:rsidR="006A1555">
        <w:rPr>
          <w:rFonts w:ascii="Bookman Old Style" w:hAnsi="Bookman Old Style"/>
          <w:sz w:val="24"/>
          <w:szCs w:val="24"/>
        </w:rPr>
        <w:t>ακυρώσιμη</w:t>
      </w:r>
      <w:r>
        <w:rPr>
          <w:rFonts w:ascii="Bookman Old Style" w:hAnsi="Bookman Old Style"/>
          <w:sz w:val="24"/>
          <w:szCs w:val="24"/>
        </w:rPr>
        <w:t xml:space="preserve">- αλλά </w:t>
      </w:r>
      <w:r w:rsidR="00635F7E">
        <w:rPr>
          <w:rFonts w:ascii="Bookman Old Style" w:hAnsi="Bookman Old Style"/>
          <w:sz w:val="24"/>
          <w:szCs w:val="24"/>
        </w:rPr>
        <w:t>είναι</w:t>
      </w:r>
      <w:r>
        <w:rPr>
          <w:rFonts w:ascii="Bookman Old Style" w:hAnsi="Bookman Old Style"/>
          <w:sz w:val="24"/>
          <w:szCs w:val="24"/>
        </w:rPr>
        <w:t xml:space="preserve"> νομικώς ανυπόστατη, καθ’ ό μέτρο ελλείπει </w:t>
      </w:r>
      <w:r w:rsidR="006A1555">
        <w:rPr>
          <w:rFonts w:ascii="Bookman Old Style" w:hAnsi="Bookman Old Style"/>
          <w:sz w:val="24"/>
          <w:szCs w:val="24"/>
        </w:rPr>
        <w:t xml:space="preserve">παντελώς </w:t>
      </w:r>
      <w:r>
        <w:rPr>
          <w:rFonts w:ascii="Bookman Old Style" w:hAnsi="Bookman Old Style"/>
          <w:sz w:val="24"/>
          <w:szCs w:val="24"/>
        </w:rPr>
        <w:t xml:space="preserve">η αναγκαία δήλωση βούλησης για την </w:t>
      </w:r>
      <w:r w:rsidR="0090391D">
        <w:rPr>
          <w:rFonts w:ascii="Bookman Old Style" w:hAnsi="Bookman Old Style"/>
          <w:sz w:val="24"/>
          <w:szCs w:val="24"/>
        </w:rPr>
        <w:t xml:space="preserve">σύναψή της.  Και το ανυπόστατο τούτο είναι θεσμικώς δυνατό να το επικαλεσθεί, πέραν του αντισυμβαλλόμενου Κράτους, και </w:t>
      </w:r>
      <w:r w:rsidR="0090391D">
        <w:rPr>
          <w:rFonts w:ascii="Bookman Old Style" w:hAnsi="Bookman Old Style"/>
          <w:sz w:val="24"/>
          <w:szCs w:val="24"/>
        </w:rPr>
        <w:lastRenderedPageBreak/>
        <w:t xml:space="preserve">κάθε τρίτο Κράτος.  Το οποίο ναι μεν ούτως ή άλλως δεν δεσμεύεται από την ελαττωματική Διεθνή Σύμβαση, κατά την αρχή του Διεθνούς Δικαίου </w:t>
      </w:r>
      <w:r w:rsidR="006A1555">
        <w:rPr>
          <w:rFonts w:ascii="Bookman Old Style" w:hAnsi="Bookman Old Style"/>
          <w:sz w:val="24"/>
          <w:szCs w:val="24"/>
        </w:rPr>
        <w:t>«</w:t>
      </w:r>
      <w:r w:rsidR="0090391D">
        <w:rPr>
          <w:rFonts w:ascii="Bookman Old Style" w:hAnsi="Bookman Old Style"/>
          <w:sz w:val="24"/>
          <w:szCs w:val="24"/>
          <w:lang w:val="en-US"/>
        </w:rPr>
        <w:t>res</w:t>
      </w:r>
      <w:r w:rsidR="0090391D" w:rsidRPr="0090391D">
        <w:rPr>
          <w:rFonts w:ascii="Bookman Old Style" w:hAnsi="Bookman Old Style"/>
          <w:sz w:val="24"/>
          <w:szCs w:val="24"/>
        </w:rPr>
        <w:t xml:space="preserve"> </w:t>
      </w:r>
      <w:r w:rsidR="0090391D">
        <w:rPr>
          <w:rFonts w:ascii="Bookman Old Style" w:hAnsi="Bookman Old Style"/>
          <w:sz w:val="24"/>
          <w:szCs w:val="24"/>
          <w:lang w:val="en-US"/>
        </w:rPr>
        <w:t>inter</w:t>
      </w:r>
      <w:r w:rsidR="0090391D" w:rsidRPr="0090391D">
        <w:rPr>
          <w:rFonts w:ascii="Bookman Old Style" w:hAnsi="Bookman Old Style"/>
          <w:sz w:val="24"/>
          <w:szCs w:val="24"/>
        </w:rPr>
        <w:t xml:space="preserve"> </w:t>
      </w:r>
      <w:proofErr w:type="spellStart"/>
      <w:r w:rsidR="0090391D">
        <w:rPr>
          <w:rFonts w:ascii="Bookman Old Style" w:hAnsi="Bookman Old Style"/>
          <w:sz w:val="24"/>
          <w:szCs w:val="24"/>
          <w:lang w:val="en-US"/>
        </w:rPr>
        <w:t>alios</w:t>
      </w:r>
      <w:proofErr w:type="spellEnd"/>
      <w:r w:rsidR="0090391D" w:rsidRPr="0090391D">
        <w:rPr>
          <w:rFonts w:ascii="Bookman Old Style" w:hAnsi="Bookman Old Style"/>
          <w:sz w:val="24"/>
          <w:szCs w:val="24"/>
        </w:rPr>
        <w:t xml:space="preserve"> </w:t>
      </w:r>
      <w:r w:rsidR="0090391D">
        <w:rPr>
          <w:rFonts w:ascii="Bookman Old Style" w:hAnsi="Bookman Old Style"/>
          <w:sz w:val="24"/>
          <w:szCs w:val="24"/>
          <w:lang w:val="en-US"/>
        </w:rPr>
        <w:t>acta</w:t>
      </w:r>
      <w:r w:rsidR="006A1555">
        <w:rPr>
          <w:rFonts w:ascii="Bookman Old Style" w:hAnsi="Bookman Old Style"/>
          <w:sz w:val="24"/>
          <w:szCs w:val="24"/>
        </w:rPr>
        <w:t>»</w:t>
      </w:r>
      <w:r w:rsidR="0090391D" w:rsidRPr="0090391D">
        <w:rPr>
          <w:rFonts w:ascii="Bookman Old Style" w:hAnsi="Bookman Old Style"/>
          <w:sz w:val="24"/>
          <w:szCs w:val="24"/>
        </w:rPr>
        <w:t xml:space="preserve">, </w:t>
      </w:r>
      <w:r w:rsidR="0090391D">
        <w:rPr>
          <w:rFonts w:ascii="Bookman Old Style" w:hAnsi="Bookman Old Style"/>
          <w:sz w:val="24"/>
          <w:szCs w:val="24"/>
        </w:rPr>
        <w:t xml:space="preserve">αλλά </w:t>
      </w:r>
      <w:r w:rsidR="006A1555">
        <w:rPr>
          <w:rFonts w:ascii="Bookman Old Style" w:hAnsi="Bookman Old Style"/>
          <w:sz w:val="24"/>
          <w:szCs w:val="24"/>
        </w:rPr>
        <w:t>σαφώς</w:t>
      </w:r>
      <w:r w:rsidR="0090391D">
        <w:rPr>
          <w:rFonts w:ascii="Bookman Old Style" w:hAnsi="Bookman Old Style"/>
          <w:sz w:val="24"/>
          <w:szCs w:val="24"/>
        </w:rPr>
        <w:t xml:space="preserve"> νομιμοποιείται, αν και εφόσον δικαιολογεί εύλογο έννομο συμφέρον, να επικαλεσθεί το κατά τα προαναφερθέντα ανυπόστατο της Διεθνούς Σύμβασης. </w:t>
      </w:r>
    </w:p>
    <w:p w:rsidR="0090391D" w:rsidRDefault="0090391D" w:rsidP="0090391D">
      <w:pPr>
        <w:pStyle w:val="a5"/>
        <w:spacing w:before="240" w:line="360" w:lineRule="auto"/>
        <w:ind w:left="851" w:hanging="284"/>
        <w:contextualSpacing w:val="0"/>
        <w:jc w:val="both"/>
        <w:rPr>
          <w:rFonts w:ascii="Bookman Old Style" w:hAnsi="Bookman Old Style"/>
          <w:b/>
          <w:sz w:val="24"/>
          <w:szCs w:val="24"/>
        </w:rPr>
      </w:pPr>
      <w:r>
        <w:rPr>
          <w:rFonts w:ascii="Bookman Old Style" w:hAnsi="Bookman Old Style"/>
          <w:b/>
          <w:sz w:val="24"/>
          <w:szCs w:val="24"/>
        </w:rPr>
        <w:t>2. Το ανυπόστατο του «</w:t>
      </w:r>
      <w:proofErr w:type="spellStart"/>
      <w:r>
        <w:rPr>
          <w:rFonts w:ascii="Bookman Old Style" w:hAnsi="Bookman Old Style"/>
          <w:b/>
          <w:sz w:val="24"/>
          <w:szCs w:val="24"/>
        </w:rPr>
        <w:t>τουρκολιβυκού</w:t>
      </w:r>
      <w:proofErr w:type="spellEnd"/>
      <w:r>
        <w:rPr>
          <w:rFonts w:ascii="Bookman Old Style" w:hAnsi="Bookman Old Style"/>
          <w:b/>
          <w:sz w:val="24"/>
          <w:szCs w:val="24"/>
        </w:rPr>
        <w:t xml:space="preserve"> μνημονίου» κατά την Σύμβαση της Βιέννης. </w:t>
      </w:r>
    </w:p>
    <w:p w:rsidR="00635F7E" w:rsidRDefault="007D4A24" w:rsidP="0090391D">
      <w:pPr>
        <w:pStyle w:val="a5"/>
        <w:spacing w:before="240" w:line="360" w:lineRule="auto"/>
        <w:ind w:left="851" w:hanging="284"/>
        <w:contextualSpacing w:val="0"/>
        <w:jc w:val="both"/>
        <w:rPr>
          <w:rFonts w:ascii="Bookman Old Style" w:hAnsi="Bookman Old Style"/>
          <w:sz w:val="24"/>
          <w:szCs w:val="24"/>
        </w:rPr>
      </w:pPr>
      <w:r>
        <w:rPr>
          <w:rFonts w:ascii="Bookman Old Style" w:hAnsi="Bookman Old Style"/>
          <w:sz w:val="24"/>
          <w:szCs w:val="24"/>
        </w:rPr>
        <w:tab/>
      </w:r>
      <w:r w:rsidR="002E4E1E">
        <w:rPr>
          <w:rFonts w:ascii="Bookman Old Style" w:hAnsi="Bookman Old Style"/>
          <w:sz w:val="24"/>
          <w:szCs w:val="24"/>
        </w:rPr>
        <w:t>Από τα όσα ήδη εκτέθηκαν ως προς την γενική θεώρηση της ερμηνείας και εφαρμογής των διατάξεων του άρθρου 46 παρ. 1 της Σύμβασης της Βιέννης, ευθέως προκύπτει το πώς και γιατί, από θεσμική και, περαιτέρω, πολιτική άποψη το «</w:t>
      </w:r>
      <w:proofErr w:type="spellStart"/>
      <w:r w:rsidR="002E4E1E">
        <w:rPr>
          <w:rFonts w:ascii="Bookman Old Style" w:hAnsi="Bookman Old Style"/>
          <w:sz w:val="24"/>
          <w:szCs w:val="24"/>
        </w:rPr>
        <w:t>τουρκολιβυκό</w:t>
      </w:r>
      <w:proofErr w:type="spellEnd"/>
      <w:r w:rsidR="002E4E1E">
        <w:rPr>
          <w:rFonts w:ascii="Bookman Old Style" w:hAnsi="Bookman Old Style"/>
          <w:sz w:val="24"/>
          <w:szCs w:val="24"/>
        </w:rPr>
        <w:t xml:space="preserve"> μνημόνιο» -και μάλιστα ανεξαρτήτως από τις «επίσημες» θέσεις Τουρκίας </w:t>
      </w:r>
      <w:r w:rsidR="00A04838">
        <w:rPr>
          <w:rFonts w:ascii="Bookman Old Style" w:hAnsi="Bookman Old Style"/>
          <w:sz w:val="24"/>
          <w:szCs w:val="24"/>
        </w:rPr>
        <w:t xml:space="preserve">και </w:t>
      </w:r>
      <w:r w:rsidR="002E4E1E">
        <w:rPr>
          <w:rFonts w:ascii="Bookman Old Style" w:hAnsi="Bookman Old Style"/>
          <w:sz w:val="24"/>
          <w:szCs w:val="24"/>
        </w:rPr>
        <w:t>Λιβύης- είναι κανονιστικώς α</w:t>
      </w:r>
      <w:r w:rsidR="00010377">
        <w:rPr>
          <w:rFonts w:ascii="Bookman Old Style" w:hAnsi="Bookman Old Style"/>
          <w:sz w:val="24"/>
          <w:szCs w:val="24"/>
        </w:rPr>
        <w:t>νυπόστατο</w:t>
      </w:r>
      <w:r w:rsidR="002E4E1E">
        <w:rPr>
          <w:rFonts w:ascii="Bookman Old Style" w:hAnsi="Bookman Old Style"/>
          <w:sz w:val="24"/>
          <w:szCs w:val="24"/>
        </w:rPr>
        <w:t xml:space="preserve"> και δεν παράγει έννομα αποτελέσματα, ιδίως όσον αφορά την ΑΟΖ της Ελλάδας και της Ευρωπαϊκής Ένωσης.  Τονίζεται δε, εκ νέου, ότι τούτο ισχύει πέρα και έξω από το γεγονός ότι Ελλάδα και Ευρωπαϊκή Ένωση δεν δεσμεύονται, κατά την αρχή «</w:t>
      </w:r>
      <w:r w:rsidR="002E4E1E">
        <w:rPr>
          <w:rFonts w:ascii="Bookman Old Style" w:hAnsi="Bookman Old Style"/>
          <w:sz w:val="24"/>
          <w:szCs w:val="24"/>
          <w:lang w:val="en-US"/>
        </w:rPr>
        <w:t>res</w:t>
      </w:r>
      <w:r w:rsidR="002E4E1E" w:rsidRPr="002E4E1E">
        <w:rPr>
          <w:rFonts w:ascii="Bookman Old Style" w:hAnsi="Bookman Old Style"/>
          <w:sz w:val="24"/>
          <w:szCs w:val="24"/>
        </w:rPr>
        <w:t xml:space="preserve"> </w:t>
      </w:r>
      <w:r w:rsidR="002E4E1E">
        <w:rPr>
          <w:rFonts w:ascii="Bookman Old Style" w:hAnsi="Bookman Old Style"/>
          <w:sz w:val="24"/>
          <w:szCs w:val="24"/>
          <w:lang w:val="en-US"/>
        </w:rPr>
        <w:t>inter</w:t>
      </w:r>
      <w:r w:rsidR="002E4E1E" w:rsidRPr="002E4E1E">
        <w:rPr>
          <w:rFonts w:ascii="Bookman Old Style" w:hAnsi="Bookman Old Style"/>
          <w:sz w:val="24"/>
          <w:szCs w:val="24"/>
        </w:rPr>
        <w:t xml:space="preserve"> </w:t>
      </w:r>
      <w:proofErr w:type="spellStart"/>
      <w:r w:rsidR="002E4E1E">
        <w:rPr>
          <w:rFonts w:ascii="Bookman Old Style" w:hAnsi="Bookman Old Style"/>
          <w:sz w:val="24"/>
          <w:szCs w:val="24"/>
          <w:lang w:val="en-US"/>
        </w:rPr>
        <w:t>alios</w:t>
      </w:r>
      <w:proofErr w:type="spellEnd"/>
      <w:r w:rsidR="002E4E1E" w:rsidRPr="002E4E1E">
        <w:rPr>
          <w:rFonts w:ascii="Bookman Old Style" w:hAnsi="Bookman Old Style"/>
          <w:sz w:val="24"/>
          <w:szCs w:val="24"/>
        </w:rPr>
        <w:t xml:space="preserve"> </w:t>
      </w:r>
      <w:r w:rsidR="002E4E1E">
        <w:rPr>
          <w:rFonts w:ascii="Bookman Old Style" w:hAnsi="Bookman Old Style"/>
          <w:sz w:val="24"/>
          <w:szCs w:val="24"/>
          <w:lang w:val="en-US"/>
        </w:rPr>
        <w:t>acta</w:t>
      </w:r>
      <w:r w:rsidR="002E4E1E">
        <w:rPr>
          <w:rFonts w:ascii="Bookman Old Style" w:hAnsi="Bookman Old Style"/>
          <w:sz w:val="24"/>
          <w:szCs w:val="24"/>
        </w:rPr>
        <w:t>» στο πεδίο του Διεθνούς Δικαίου, από το «</w:t>
      </w:r>
      <w:proofErr w:type="spellStart"/>
      <w:r w:rsidR="002E4E1E">
        <w:rPr>
          <w:rFonts w:ascii="Bookman Old Style" w:hAnsi="Bookman Old Style"/>
          <w:sz w:val="24"/>
          <w:szCs w:val="24"/>
        </w:rPr>
        <w:t>τουρκολιβυκό</w:t>
      </w:r>
      <w:proofErr w:type="spellEnd"/>
      <w:r w:rsidR="002E4E1E">
        <w:rPr>
          <w:rFonts w:ascii="Bookman Old Style" w:hAnsi="Bookman Old Style"/>
          <w:sz w:val="24"/>
          <w:szCs w:val="24"/>
        </w:rPr>
        <w:t xml:space="preserve"> μνημόνιο»</w:t>
      </w:r>
      <w:r w:rsidR="00635F7E">
        <w:rPr>
          <w:rFonts w:ascii="Bookman Old Style" w:hAnsi="Bookman Old Style"/>
          <w:sz w:val="24"/>
          <w:szCs w:val="24"/>
        </w:rPr>
        <w:t>.</w:t>
      </w:r>
    </w:p>
    <w:p w:rsidR="00373133" w:rsidRDefault="002E4E1E" w:rsidP="00373133">
      <w:pPr>
        <w:pStyle w:val="a5"/>
        <w:spacing w:before="240" w:line="360" w:lineRule="auto"/>
        <w:ind w:left="1134" w:hanging="283"/>
        <w:contextualSpacing w:val="0"/>
        <w:jc w:val="both"/>
        <w:rPr>
          <w:rFonts w:ascii="Bookman Old Style" w:hAnsi="Bookman Old Style"/>
          <w:sz w:val="24"/>
          <w:szCs w:val="24"/>
        </w:rPr>
      </w:pPr>
      <w:r>
        <w:rPr>
          <w:rFonts w:ascii="Bookman Old Style" w:hAnsi="Bookman Old Style"/>
          <w:b/>
          <w:sz w:val="24"/>
          <w:szCs w:val="24"/>
        </w:rPr>
        <w:t xml:space="preserve">α) </w:t>
      </w:r>
      <w:r>
        <w:rPr>
          <w:rFonts w:ascii="Bookman Old Style" w:hAnsi="Bookman Old Style"/>
          <w:sz w:val="24"/>
          <w:szCs w:val="24"/>
        </w:rPr>
        <w:t>Συγκεκριμένα, το νομικώς ανυπόστατο του «</w:t>
      </w:r>
      <w:proofErr w:type="spellStart"/>
      <w:r>
        <w:rPr>
          <w:rFonts w:ascii="Bookman Old Style" w:hAnsi="Bookman Old Style"/>
          <w:sz w:val="24"/>
          <w:szCs w:val="24"/>
        </w:rPr>
        <w:t>τουρκολιβυκού</w:t>
      </w:r>
      <w:proofErr w:type="spellEnd"/>
      <w:r>
        <w:rPr>
          <w:rFonts w:ascii="Bookman Old Style" w:hAnsi="Bookman Old Style"/>
          <w:sz w:val="24"/>
          <w:szCs w:val="24"/>
        </w:rPr>
        <w:t xml:space="preserve"> μνημονίου» απορρέει εκ του ότι κατά την σύναψή του δεν υφίσταται έγκυρη -με βάση </w:t>
      </w:r>
      <w:r w:rsidR="00851000">
        <w:rPr>
          <w:rFonts w:ascii="Bookman Old Style" w:hAnsi="Bookman Old Style"/>
          <w:sz w:val="24"/>
          <w:szCs w:val="24"/>
        </w:rPr>
        <w:t xml:space="preserve">τα </w:t>
      </w:r>
      <w:r>
        <w:rPr>
          <w:rFonts w:ascii="Bookman Old Style" w:hAnsi="Bookman Old Style"/>
          <w:sz w:val="24"/>
          <w:szCs w:val="24"/>
        </w:rPr>
        <w:t xml:space="preserve">όσα ήδη έχουν </w:t>
      </w:r>
      <w:r w:rsidR="00EA7DB8">
        <w:rPr>
          <w:rFonts w:ascii="Bookman Old Style" w:hAnsi="Bookman Old Style"/>
          <w:sz w:val="24"/>
          <w:szCs w:val="24"/>
        </w:rPr>
        <w:t>λεχθεί</w:t>
      </w:r>
      <w:r>
        <w:rPr>
          <w:rFonts w:ascii="Bookman Old Style" w:hAnsi="Bookman Old Style"/>
          <w:sz w:val="24"/>
          <w:szCs w:val="24"/>
        </w:rPr>
        <w:t>- δήλωση βούλησης</w:t>
      </w:r>
      <w:r w:rsidR="00891811">
        <w:rPr>
          <w:rFonts w:ascii="Bookman Old Style" w:hAnsi="Bookman Old Style"/>
          <w:sz w:val="24"/>
          <w:szCs w:val="24"/>
        </w:rPr>
        <w:t>.  Το συμπέρασμα αυτό προκύπτει εκ του ότι δεν εξέφρασαν εγκ</w:t>
      </w:r>
      <w:r w:rsidR="00EA7DB8">
        <w:rPr>
          <w:rFonts w:ascii="Bookman Old Style" w:hAnsi="Bookman Old Style"/>
          <w:sz w:val="24"/>
          <w:szCs w:val="24"/>
        </w:rPr>
        <w:t>ύ</w:t>
      </w:r>
      <w:r w:rsidR="00891811">
        <w:rPr>
          <w:rFonts w:ascii="Bookman Old Style" w:hAnsi="Bookman Old Style"/>
          <w:sz w:val="24"/>
          <w:szCs w:val="24"/>
        </w:rPr>
        <w:t>ρως δήλωση βούλησης</w:t>
      </w:r>
      <w:r>
        <w:rPr>
          <w:rFonts w:ascii="Bookman Old Style" w:hAnsi="Bookman Old Style"/>
          <w:sz w:val="24"/>
          <w:szCs w:val="24"/>
        </w:rPr>
        <w:t xml:space="preserve"> τα κρατικά εκείνα όργανα της Λιβύης, τα</w:t>
      </w:r>
      <w:r w:rsidR="00891811">
        <w:rPr>
          <w:rFonts w:ascii="Bookman Old Style" w:hAnsi="Bookman Old Style"/>
          <w:sz w:val="24"/>
          <w:szCs w:val="24"/>
        </w:rPr>
        <w:t xml:space="preserve"> </w:t>
      </w:r>
      <w:r>
        <w:rPr>
          <w:rFonts w:ascii="Bookman Old Style" w:hAnsi="Bookman Old Style"/>
          <w:sz w:val="24"/>
          <w:szCs w:val="24"/>
        </w:rPr>
        <w:t>οποία κατά το εσωτερικό της δίκαιο είναι εν προκειμένω αρμόδια.  Για την ακρί</w:t>
      </w:r>
      <w:r w:rsidR="00891811">
        <w:rPr>
          <w:rFonts w:ascii="Bookman Old Style" w:hAnsi="Bookman Old Style"/>
          <w:sz w:val="24"/>
          <w:szCs w:val="24"/>
        </w:rPr>
        <w:t>β</w:t>
      </w:r>
      <w:r>
        <w:rPr>
          <w:rFonts w:ascii="Bookman Old Style" w:hAnsi="Bookman Old Style"/>
          <w:sz w:val="24"/>
          <w:szCs w:val="24"/>
        </w:rPr>
        <w:t>εια, τα</w:t>
      </w:r>
      <w:r w:rsidR="00891811">
        <w:rPr>
          <w:rFonts w:ascii="Bookman Old Style" w:hAnsi="Bookman Old Style"/>
          <w:sz w:val="24"/>
          <w:szCs w:val="24"/>
        </w:rPr>
        <w:t xml:space="preserve"> </w:t>
      </w:r>
      <w:r>
        <w:rPr>
          <w:rFonts w:ascii="Bookman Old Style" w:hAnsi="Bookman Old Style"/>
          <w:sz w:val="24"/>
          <w:szCs w:val="24"/>
        </w:rPr>
        <w:t>όργανα αυτά καθορίζοντ</w:t>
      </w:r>
      <w:r w:rsidR="00891811">
        <w:rPr>
          <w:rFonts w:ascii="Bookman Old Style" w:hAnsi="Bookman Old Style"/>
          <w:sz w:val="24"/>
          <w:szCs w:val="24"/>
        </w:rPr>
        <w:t>αι</w:t>
      </w:r>
      <w:r>
        <w:rPr>
          <w:rFonts w:ascii="Bookman Old Style" w:hAnsi="Bookman Old Style"/>
          <w:sz w:val="24"/>
          <w:szCs w:val="24"/>
        </w:rPr>
        <w:t>, κατά βάση τουλάχιστον, από τις διατάξεις του άρθρου 8 παρ. 2 (</w:t>
      </w:r>
      <w:r w:rsidR="00E106FA">
        <w:rPr>
          <w:rFonts w:ascii="Bookman Old Style" w:hAnsi="Bookman Old Style"/>
          <w:sz w:val="24"/>
          <w:szCs w:val="24"/>
          <w:lang w:val="en-US"/>
        </w:rPr>
        <w:t>f</w:t>
      </w:r>
      <w:r>
        <w:rPr>
          <w:rFonts w:ascii="Bookman Old Style" w:hAnsi="Bookman Old Style"/>
          <w:sz w:val="24"/>
          <w:szCs w:val="24"/>
        </w:rPr>
        <w:t>) της Πολιτικής Συμφωνίας του 2015, όπως εγκρίθηκε με το ψήφισμα 2259 (2015) του Συμβουλίου Ασφαλείας του ΟΗΕ.</w:t>
      </w:r>
    </w:p>
    <w:p w:rsidR="00373133" w:rsidRDefault="002E4E1E" w:rsidP="00373133">
      <w:pPr>
        <w:pStyle w:val="a5"/>
        <w:spacing w:before="240" w:line="360" w:lineRule="auto"/>
        <w:ind w:left="1134" w:hanging="283"/>
        <w:contextualSpacing w:val="0"/>
        <w:jc w:val="both"/>
        <w:rPr>
          <w:rFonts w:ascii="Bookman Old Style" w:hAnsi="Bookman Old Style"/>
          <w:sz w:val="24"/>
          <w:szCs w:val="24"/>
        </w:rPr>
      </w:pPr>
      <w:r w:rsidRPr="00373133">
        <w:rPr>
          <w:rFonts w:ascii="Bookman Old Style" w:hAnsi="Bookman Old Style"/>
          <w:b/>
          <w:sz w:val="24"/>
          <w:szCs w:val="24"/>
        </w:rPr>
        <w:lastRenderedPageBreak/>
        <w:t xml:space="preserve">β) </w:t>
      </w:r>
      <w:r w:rsidRPr="00373133">
        <w:rPr>
          <w:rFonts w:ascii="Bookman Old Style" w:hAnsi="Bookman Old Style"/>
          <w:sz w:val="24"/>
          <w:szCs w:val="24"/>
        </w:rPr>
        <w:t>Ειδικότερα, κατά τις ως άνω διατάξεις η Λιβύη μπορεί να συνάπτει διεθνείς συμβάσεις μόνον εφόσον</w:t>
      </w:r>
      <w:r w:rsidR="00373133">
        <w:rPr>
          <w:rFonts w:ascii="Bookman Old Style" w:hAnsi="Bookman Old Style"/>
          <w:sz w:val="24"/>
          <w:szCs w:val="24"/>
        </w:rPr>
        <w:t xml:space="preserve"> συναινεί και </w:t>
      </w:r>
      <w:r w:rsidRPr="00373133">
        <w:rPr>
          <w:rFonts w:ascii="Bookman Old Style" w:hAnsi="Bookman Old Style"/>
          <w:sz w:val="24"/>
          <w:szCs w:val="24"/>
        </w:rPr>
        <w:t xml:space="preserve"> </w:t>
      </w:r>
      <w:r w:rsidR="00010377" w:rsidRPr="00373133">
        <w:rPr>
          <w:rFonts w:ascii="Bookman Old Style" w:hAnsi="Bookman Old Style"/>
          <w:sz w:val="24"/>
          <w:szCs w:val="24"/>
        </w:rPr>
        <w:t>συμπράττει</w:t>
      </w:r>
      <w:r w:rsidR="00373133">
        <w:rPr>
          <w:rFonts w:ascii="Bookman Old Style" w:hAnsi="Bookman Old Style"/>
          <w:sz w:val="24"/>
          <w:szCs w:val="24"/>
        </w:rPr>
        <w:t>,</w:t>
      </w:r>
      <w:r w:rsidR="00010377" w:rsidRPr="00373133">
        <w:rPr>
          <w:rFonts w:ascii="Bookman Old Style" w:hAnsi="Bookman Old Style"/>
          <w:sz w:val="24"/>
          <w:szCs w:val="24"/>
        </w:rPr>
        <w:t xml:space="preserve"> ευθέως</w:t>
      </w:r>
      <w:r w:rsidR="00373133">
        <w:rPr>
          <w:rFonts w:ascii="Bookman Old Style" w:hAnsi="Bookman Old Style"/>
          <w:sz w:val="24"/>
          <w:szCs w:val="24"/>
        </w:rPr>
        <w:t>,</w:t>
      </w:r>
      <w:r w:rsidR="00010377" w:rsidRPr="00373133">
        <w:rPr>
          <w:rFonts w:ascii="Bookman Old Style" w:hAnsi="Bookman Old Style"/>
          <w:sz w:val="24"/>
          <w:szCs w:val="24"/>
        </w:rPr>
        <w:t xml:space="preserve"> και το Κοινοβούλιό της, ήτοι η Βουλή τ</w:t>
      </w:r>
      <w:r w:rsidR="00891811" w:rsidRPr="00373133">
        <w:rPr>
          <w:rFonts w:ascii="Bookman Old Style" w:hAnsi="Bookman Old Style"/>
          <w:sz w:val="24"/>
          <w:szCs w:val="24"/>
        </w:rPr>
        <w:t>ω</w:t>
      </w:r>
      <w:r w:rsidR="00010377" w:rsidRPr="00373133">
        <w:rPr>
          <w:rFonts w:ascii="Bookman Old Style" w:hAnsi="Bookman Old Style"/>
          <w:sz w:val="24"/>
          <w:szCs w:val="24"/>
        </w:rPr>
        <w:t xml:space="preserve">ν Αντιπροσώπων.  </w:t>
      </w:r>
      <w:r w:rsidR="00E106FA" w:rsidRPr="00373133">
        <w:rPr>
          <w:rFonts w:ascii="Bookman Old Style" w:hAnsi="Bookman Old Style"/>
          <w:sz w:val="24"/>
          <w:szCs w:val="24"/>
        </w:rPr>
        <w:t>Σύμφωνα με</w:t>
      </w:r>
      <w:r w:rsidR="00010377" w:rsidRPr="00373133">
        <w:rPr>
          <w:rFonts w:ascii="Bookman Old Style" w:hAnsi="Bookman Old Style"/>
          <w:sz w:val="24"/>
          <w:szCs w:val="24"/>
        </w:rPr>
        <w:t xml:space="preserve"> την διατύπωση των ίδιων διατάξεων</w:t>
      </w:r>
      <w:r w:rsidR="00E106FA" w:rsidRPr="00373133">
        <w:rPr>
          <w:rFonts w:ascii="Bookman Old Style" w:hAnsi="Bookman Old Style"/>
          <w:sz w:val="24"/>
          <w:szCs w:val="24"/>
        </w:rPr>
        <w:t>,</w:t>
      </w:r>
      <w:r w:rsidR="00010377" w:rsidRPr="00373133">
        <w:rPr>
          <w:rFonts w:ascii="Bookman Old Style" w:hAnsi="Bookman Old Style"/>
          <w:sz w:val="24"/>
          <w:szCs w:val="24"/>
        </w:rPr>
        <w:t xml:space="preserve"> ουδέν άλλο όργανο -συμπεριλαμβανομένου του Συμβουλίου Εθνικής Ασφάλειας- της Λιβύης μπορεί να υποκαταστήσει την Βουλή των Αντιπροσώπων κατά την άσκηση των αρμοδιοτήτων της ως προς την σύναψη </w:t>
      </w:r>
      <w:r w:rsidR="00EA7DB8" w:rsidRPr="00373133">
        <w:rPr>
          <w:rFonts w:ascii="Bookman Old Style" w:hAnsi="Bookman Old Style"/>
          <w:sz w:val="24"/>
          <w:szCs w:val="24"/>
        </w:rPr>
        <w:t>Δ</w:t>
      </w:r>
      <w:r w:rsidR="00010377" w:rsidRPr="00373133">
        <w:rPr>
          <w:rFonts w:ascii="Bookman Old Style" w:hAnsi="Bookman Old Style"/>
          <w:sz w:val="24"/>
          <w:szCs w:val="24"/>
        </w:rPr>
        <w:t xml:space="preserve">ιεθνών </w:t>
      </w:r>
      <w:r w:rsidR="00EA7DB8" w:rsidRPr="00373133">
        <w:rPr>
          <w:rFonts w:ascii="Bookman Old Style" w:hAnsi="Bookman Old Style"/>
          <w:sz w:val="24"/>
          <w:szCs w:val="24"/>
        </w:rPr>
        <w:t>Σ</w:t>
      </w:r>
      <w:r w:rsidR="00010377" w:rsidRPr="00373133">
        <w:rPr>
          <w:rFonts w:ascii="Bookman Old Style" w:hAnsi="Bookman Old Style"/>
          <w:sz w:val="24"/>
          <w:szCs w:val="24"/>
        </w:rPr>
        <w:t xml:space="preserve">υμβάσεων για λογαριασμό της Λιβύης.  Συνακόλουθα, αν κατά την σύναψη </w:t>
      </w:r>
      <w:r w:rsidR="00EA7DB8" w:rsidRPr="00373133">
        <w:rPr>
          <w:rFonts w:ascii="Bookman Old Style" w:hAnsi="Bookman Old Style"/>
          <w:sz w:val="24"/>
          <w:szCs w:val="24"/>
        </w:rPr>
        <w:t>Δ</w:t>
      </w:r>
      <w:r w:rsidR="00010377" w:rsidRPr="00373133">
        <w:rPr>
          <w:rFonts w:ascii="Bookman Old Style" w:hAnsi="Bookman Old Style"/>
          <w:sz w:val="24"/>
          <w:szCs w:val="24"/>
        </w:rPr>
        <w:t xml:space="preserve">ιεθνούς </w:t>
      </w:r>
      <w:r w:rsidR="00EA7DB8" w:rsidRPr="00373133">
        <w:rPr>
          <w:rFonts w:ascii="Bookman Old Style" w:hAnsi="Bookman Old Style"/>
          <w:sz w:val="24"/>
          <w:szCs w:val="24"/>
        </w:rPr>
        <w:t>Σ</w:t>
      </w:r>
      <w:r w:rsidR="00010377" w:rsidRPr="00373133">
        <w:rPr>
          <w:rFonts w:ascii="Bookman Old Style" w:hAnsi="Bookman Old Style"/>
          <w:sz w:val="24"/>
          <w:szCs w:val="24"/>
        </w:rPr>
        <w:t xml:space="preserve">ύμβασης δεν </w:t>
      </w:r>
      <w:r w:rsidR="00373133">
        <w:rPr>
          <w:rFonts w:ascii="Bookman Old Style" w:hAnsi="Bookman Old Style"/>
          <w:sz w:val="24"/>
          <w:szCs w:val="24"/>
        </w:rPr>
        <w:t xml:space="preserve">συναινέσει και δεν </w:t>
      </w:r>
      <w:r w:rsidR="00010377" w:rsidRPr="00373133">
        <w:rPr>
          <w:rFonts w:ascii="Bookman Old Style" w:hAnsi="Bookman Old Style"/>
          <w:sz w:val="24"/>
          <w:szCs w:val="24"/>
        </w:rPr>
        <w:t>συμπράξει και η Βουλή των Αντιπρ</w:t>
      </w:r>
      <w:r w:rsidR="00891811" w:rsidRPr="00373133">
        <w:rPr>
          <w:rFonts w:ascii="Bookman Old Style" w:hAnsi="Bookman Old Style"/>
          <w:sz w:val="24"/>
          <w:szCs w:val="24"/>
        </w:rPr>
        <w:t>οσ</w:t>
      </w:r>
      <w:r w:rsidR="00010377" w:rsidRPr="00373133">
        <w:rPr>
          <w:rFonts w:ascii="Bookman Old Style" w:hAnsi="Bookman Old Style"/>
          <w:sz w:val="24"/>
          <w:szCs w:val="24"/>
        </w:rPr>
        <w:t xml:space="preserve">ώπων της Λιβύης, δεν υφίσταται </w:t>
      </w:r>
      <w:r w:rsidR="00891811" w:rsidRPr="00373133">
        <w:rPr>
          <w:rFonts w:ascii="Bookman Old Style" w:hAnsi="Bookman Old Style"/>
          <w:sz w:val="24"/>
          <w:szCs w:val="24"/>
        </w:rPr>
        <w:t>έγκυρη</w:t>
      </w:r>
      <w:r w:rsidR="00010377" w:rsidRPr="00373133">
        <w:rPr>
          <w:rFonts w:ascii="Bookman Old Style" w:hAnsi="Bookman Old Style"/>
          <w:sz w:val="24"/>
          <w:szCs w:val="24"/>
        </w:rPr>
        <w:t xml:space="preserve"> δήλωση βούλησης από την πλευρά του Κράτους τούτου</w:t>
      </w:r>
      <w:r w:rsidR="00E106FA" w:rsidRPr="00373133">
        <w:rPr>
          <w:rFonts w:ascii="Bookman Old Style" w:hAnsi="Bookman Old Style"/>
          <w:sz w:val="24"/>
          <w:szCs w:val="24"/>
        </w:rPr>
        <w:t>.</w:t>
      </w:r>
      <w:r w:rsidR="00010377" w:rsidRPr="00373133">
        <w:rPr>
          <w:rFonts w:ascii="Bookman Old Style" w:hAnsi="Bookman Old Style"/>
          <w:sz w:val="24"/>
          <w:szCs w:val="24"/>
        </w:rPr>
        <w:t xml:space="preserve"> </w:t>
      </w:r>
      <w:r w:rsidR="00E106FA" w:rsidRPr="00373133">
        <w:rPr>
          <w:rFonts w:ascii="Bookman Old Style" w:hAnsi="Bookman Old Style"/>
          <w:sz w:val="24"/>
          <w:szCs w:val="24"/>
        </w:rPr>
        <w:t>Ά</w:t>
      </w:r>
      <w:r w:rsidR="00010377" w:rsidRPr="00373133">
        <w:rPr>
          <w:rFonts w:ascii="Bookman Old Style" w:hAnsi="Bookman Old Style"/>
          <w:sz w:val="24"/>
          <w:szCs w:val="24"/>
        </w:rPr>
        <w:t>ρα</w:t>
      </w:r>
      <w:r w:rsidR="004F0E57" w:rsidRPr="00373133">
        <w:rPr>
          <w:rFonts w:ascii="Bookman Old Style" w:hAnsi="Bookman Old Style"/>
          <w:sz w:val="24"/>
          <w:szCs w:val="24"/>
        </w:rPr>
        <w:t>,</w:t>
      </w:r>
      <w:r w:rsidR="00010377" w:rsidRPr="00373133">
        <w:rPr>
          <w:rFonts w:ascii="Bookman Old Style" w:hAnsi="Bookman Old Style"/>
          <w:sz w:val="24"/>
          <w:szCs w:val="24"/>
        </w:rPr>
        <w:t xml:space="preserve"> η σχετική σύμβαση είναι ανυπόστατη και δεν παράγει έννομα αποτελέσματα</w:t>
      </w:r>
      <w:r w:rsidR="00E106FA" w:rsidRPr="00373133">
        <w:rPr>
          <w:rFonts w:ascii="Bookman Old Style" w:hAnsi="Bookman Old Style"/>
          <w:sz w:val="24"/>
          <w:szCs w:val="24"/>
        </w:rPr>
        <w:t>,</w:t>
      </w:r>
      <w:r w:rsidR="00EA7DB8" w:rsidRPr="00373133">
        <w:rPr>
          <w:rFonts w:ascii="Bookman Old Style" w:hAnsi="Bookman Old Style"/>
          <w:sz w:val="24"/>
          <w:szCs w:val="24"/>
        </w:rPr>
        <w:t xml:space="preserve"> γεγονός το οποίο μπορεί να επικαλεσθεί, κατά τις διατάξεις του άρθρου 46 παρ. 1 της Σύμβασης της Βιέννης, η Λιβύη αλλά και τρίτο μέρος που έχει έννομο συμφέρον. </w:t>
      </w:r>
      <w:r w:rsidR="00010377" w:rsidRPr="00373133">
        <w:rPr>
          <w:rFonts w:ascii="Bookman Old Style" w:hAnsi="Bookman Old Style"/>
          <w:sz w:val="24"/>
          <w:szCs w:val="24"/>
        </w:rPr>
        <w:t xml:space="preserve"> </w:t>
      </w:r>
    </w:p>
    <w:p w:rsidR="00373133" w:rsidRDefault="00EA7DB8" w:rsidP="00373133">
      <w:pPr>
        <w:pStyle w:val="a5"/>
        <w:spacing w:before="240" w:line="360" w:lineRule="auto"/>
        <w:ind w:left="1134" w:hanging="283"/>
        <w:contextualSpacing w:val="0"/>
        <w:jc w:val="both"/>
        <w:rPr>
          <w:rFonts w:ascii="Bookman Old Style" w:hAnsi="Bookman Old Style"/>
          <w:sz w:val="24"/>
          <w:szCs w:val="24"/>
        </w:rPr>
      </w:pPr>
      <w:r w:rsidRPr="00373133">
        <w:rPr>
          <w:rFonts w:ascii="Bookman Old Style" w:hAnsi="Bookman Old Style"/>
          <w:b/>
          <w:sz w:val="24"/>
          <w:szCs w:val="24"/>
        </w:rPr>
        <w:t xml:space="preserve">γ) </w:t>
      </w:r>
      <w:r w:rsidR="00010377" w:rsidRPr="00373133">
        <w:rPr>
          <w:rFonts w:ascii="Bookman Old Style" w:hAnsi="Bookman Old Style"/>
          <w:sz w:val="24"/>
          <w:szCs w:val="24"/>
        </w:rPr>
        <w:t>Το «</w:t>
      </w:r>
      <w:proofErr w:type="spellStart"/>
      <w:r w:rsidR="00010377" w:rsidRPr="00373133">
        <w:rPr>
          <w:rFonts w:ascii="Bookman Old Style" w:hAnsi="Bookman Old Style"/>
          <w:sz w:val="24"/>
          <w:szCs w:val="24"/>
        </w:rPr>
        <w:t>τουρκολιβυκό</w:t>
      </w:r>
      <w:proofErr w:type="spellEnd"/>
      <w:r w:rsidR="00010377" w:rsidRPr="00373133">
        <w:rPr>
          <w:rFonts w:ascii="Bookman Old Style" w:hAnsi="Bookman Old Style"/>
          <w:sz w:val="24"/>
          <w:szCs w:val="24"/>
        </w:rPr>
        <w:t xml:space="preserve"> μνημόνιο» </w:t>
      </w:r>
      <w:r w:rsidR="004F0E57" w:rsidRPr="00373133">
        <w:rPr>
          <w:rFonts w:ascii="Bookman Old Style" w:hAnsi="Bookman Old Style"/>
          <w:sz w:val="24"/>
          <w:szCs w:val="24"/>
        </w:rPr>
        <w:t>διαθέτει</w:t>
      </w:r>
      <w:r w:rsidR="00010377" w:rsidRPr="00373133">
        <w:rPr>
          <w:rFonts w:ascii="Bookman Old Style" w:hAnsi="Bookman Old Style"/>
          <w:sz w:val="24"/>
          <w:szCs w:val="24"/>
        </w:rPr>
        <w:t xml:space="preserve">, εκ μέρους της Λιβύης, μόνο την υπογραφή του φερόμενου ως πρωθυπουργού </w:t>
      </w:r>
      <w:r w:rsidR="00891811" w:rsidRPr="00373133">
        <w:rPr>
          <w:rFonts w:ascii="Bookman Old Style" w:hAnsi="Bookman Old Style"/>
          <w:sz w:val="24"/>
          <w:szCs w:val="24"/>
        </w:rPr>
        <w:t>«</w:t>
      </w:r>
      <w:r w:rsidR="00010377" w:rsidRPr="00373133">
        <w:rPr>
          <w:rFonts w:ascii="Bookman Old Style" w:hAnsi="Bookman Old Style"/>
          <w:sz w:val="24"/>
          <w:szCs w:val="24"/>
        </w:rPr>
        <w:t>επικε</w:t>
      </w:r>
      <w:r w:rsidRPr="00373133">
        <w:rPr>
          <w:rFonts w:ascii="Bookman Old Style" w:hAnsi="Bookman Old Style"/>
          <w:sz w:val="24"/>
          <w:szCs w:val="24"/>
        </w:rPr>
        <w:t>φ</w:t>
      </w:r>
      <w:r w:rsidR="00010377" w:rsidRPr="00373133">
        <w:rPr>
          <w:rFonts w:ascii="Bookman Old Style" w:hAnsi="Bookman Old Style"/>
          <w:sz w:val="24"/>
          <w:szCs w:val="24"/>
        </w:rPr>
        <w:t xml:space="preserve">αλής της Κυβέρνησης Εθνικής Συμμαχίας» </w:t>
      </w:r>
      <w:proofErr w:type="spellStart"/>
      <w:r w:rsidR="00010377" w:rsidRPr="00373133">
        <w:rPr>
          <w:rFonts w:ascii="Bookman Old Style" w:hAnsi="Bookman Old Style"/>
          <w:sz w:val="24"/>
          <w:szCs w:val="24"/>
        </w:rPr>
        <w:t>Φαγ</w:t>
      </w:r>
      <w:r w:rsidRPr="00373133">
        <w:rPr>
          <w:rFonts w:ascii="Bookman Old Style" w:hAnsi="Bookman Old Style"/>
          <w:sz w:val="24"/>
          <w:szCs w:val="24"/>
        </w:rPr>
        <w:t>έ</w:t>
      </w:r>
      <w:r w:rsidR="00010377" w:rsidRPr="00373133">
        <w:rPr>
          <w:rFonts w:ascii="Bookman Old Style" w:hAnsi="Bookman Old Style"/>
          <w:sz w:val="24"/>
          <w:szCs w:val="24"/>
        </w:rPr>
        <w:t>ζ</w:t>
      </w:r>
      <w:proofErr w:type="spellEnd"/>
      <w:r w:rsidR="00010377" w:rsidRPr="00373133">
        <w:rPr>
          <w:rFonts w:ascii="Bookman Old Style" w:hAnsi="Bookman Old Style"/>
          <w:sz w:val="24"/>
          <w:szCs w:val="24"/>
        </w:rPr>
        <w:t xml:space="preserve"> </w:t>
      </w:r>
      <w:proofErr w:type="spellStart"/>
      <w:r w:rsidR="00010377" w:rsidRPr="00373133">
        <w:rPr>
          <w:rFonts w:ascii="Bookman Old Style" w:hAnsi="Bookman Old Style"/>
          <w:sz w:val="24"/>
          <w:szCs w:val="24"/>
        </w:rPr>
        <w:t>αλ</w:t>
      </w:r>
      <w:proofErr w:type="spellEnd"/>
      <w:r w:rsidR="00010377" w:rsidRPr="00373133">
        <w:rPr>
          <w:rFonts w:ascii="Bookman Old Style" w:hAnsi="Bookman Old Style"/>
          <w:sz w:val="24"/>
          <w:szCs w:val="24"/>
        </w:rPr>
        <w:t xml:space="preserve"> </w:t>
      </w:r>
      <w:proofErr w:type="spellStart"/>
      <w:r w:rsidR="00010377" w:rsidRPr="00373133">
        <w:rPr>
          <w:rFonts w:ascii="Bookman Old Style" w:hAnsi="Bookman Old Style"/>
          <w:sz w:val="24"/>
          <w:szCs w:val="24"/>
        </w:rPr>
        <w:t>Σ</w:t>
      </w:r>
      <w:r w:rsidR="00891811" w:rsidRPr="00373133">
        <w:rPr>
          <w:rFonts w:ascii="Bookman Old Style" w:hAnsi="Bookman Old Style"/>
          <w:sz w:val="24"/>
          <w:szCs w:val="24"/>
        </w:rPr>
        <w:t>α</w:t>
      </w:r>
      <w:r w:rsidR="00010377" w:rsidRPr="00373133">
        <w:rPr>
          <w:rFonts w:ascii="Bookman Old Style" w:hAnsi="Bookman Old Style"/>
          <w:sz w:val="24"/>
          <w:szCs w:val="24"/>
        </w:rPr>
        <w:t>ράζ</w:t>
      </w:r>
      <w:proofErr w:type="spellEnd"/>
      <w:r w:rsidR="00010377" w:rsidRPr="00373133">
        <w:rPr>
          <w:rFonts w:ascii="Bookman Old Style" w:hAnsi="Bookman Old Style"/>
          <w:sz w:val="24"/>
          <w:szCs w:val="24"/>
        </w:rPr>
        <w:t xml:space="preserve">.  Η Βουλή των Αντιπροσώπων της Λιβύης όχι μόνο δεν </w:t>
      </w:r>
      <w:r w:rsidR="00373133">
        <w:rPr>
          <w:rFonts w:ascii="Bookman Old Style" w:hAnsi="Bookman Old Style"/>
          <w:sz w:val="24"/>
          <w:szCs w:val="24"/>
        </w:rPr>
        <w:t xml:space="preserve">συναίνεσε και δεν </w:t>
      </w:r>
      <w:r w:rsidR="00010377" w:rsidRPr="00373133">
        <w:rPr>
          <w:rFonts w:ascii="Bookman Old Style" w:hAnsi="Bookman Old Style"/>
          <w:sz w:val="24"/>
          <w:szCs w:val="24"/>
        </w:rPr>
        <w:t>συνέπραξε</w:t>
      </w:r>
      <w:r w:rsidRPr="00373133">
        <w:rPr>
          <w:rFonts w:ascii="Bookman Old Style" w:hAnsi="Bookman Old Style"/>
          <w:sz w:val="24"/>
          <w:szCs w:val="24"/>
        </w:rPr>
        <w:t>,</w:t>
      </w:r>
      <w:r w:rsidR="00010377" w:rsidRPr="00373133">
        <w:rPr>
          <w:rFonts w:ascii="Bookman Old Style" w:hAnsi="Bookman Old Style"/>
          <w:sz w:val="24"/>
          <w:szCs w:val="24"/>
        </w:rPr>
        <w:t xml:space="preserve"> κατ’ ουδένα τρόπο, στην σύναψη του «</w:t>
      </w:r>
      <w:proofErr w:type="spellStart"/>
      <w:r w:rsidR="00010377" w:rsidRPr="00373133">
        <w:rPr>
          <w:rFonts w:ascii="Bookman Old Style" w:hAnsi="Bookman Old Style"/>
          <w:sz w:val="24"/>
          <w:szCs w:val="24"/>
        </w:rPr>
        <w:t>τουρκολιβυκού</w:t>
      </w:r>
      <w:proofErr w:type="spellEnd"/>
      <w:r w:rsidR="00010377" w:rsidRPr="00373133">
        <w:rPr>
          <w:rFonts w:ascii="Bookman Old Style" w:hAnsi="Bookman Old Style"/>
          <w:sz w:val="24"/>
          <w:szCs w:val="24"/>
        </w:rPr>
        <w:t xml:space="preserve"> μνημονίου» αλλά, </w:t>
      </w:r>
      <w:proofErr w:type="spellStart"/>
      <w:r w:rsidR="00010377" w:rsidRPr="00373133">
        <w:rPr>
          <w:rFonts w:ascii="Bookman Old Style" w:hAnsi="Bookman Old Style"/>
          <w:sz w:val="24"/>
          <w:szCs w:val="24"/>
        </w:rPr>
        <w:t>όλως</w:t>
      </w:r>
      <w:proofErr w:type="spellEnd"/>
      <w:r w:rsidR="00010377" w:rsidRPr="00373133">
        <w:rPr>
          <w:rFonts w:ascii="Bookman Old Style" w:hAnsi="Bookman Old Style"/>
          <w:sz w:val="24"/>
          <w:szCs w:val="24"/>
        </w:rPr>
        <w:t xml:space="preserve"> αντιθέτως, ο Πρόεδρός της, με επιστολή του προς τον Γενικό Γραμματέα του ΟΗΕ μετά την σύν</w:t>
      </w:r>
      <w:r w:rsidRPr="00373133">
        <w:rPr>
          <w:rFonts w:ascii="Bookman Old Style" w:hAnsi="Bookman Old Style"/>
          <w:sz w:val="24"/>
          <w:szCs w:val="24"/>
        </w:rPr>
        <w:t>αψή</w:t>
      </w:r>
      <w:r w:rsidR="00010377" w:rsidRPr="00373133">
        <w:rPr>
          <w:rFonts w:ascii="Bookman Old Style" w:hAnsi="Bookman Old Style"/>
          <w:sz w:val="24"/>
          <w:szCs w:val="24"/>
        </w:rPr>
        <w:t xml:space="preserve"> του</w:t>
      </w:r>
      <w:r w:rsidRPr="00373133">
        <w:rPr>
          <w:rFonts w:ascii="Bookman Old Style" w:hAnsi="Bookman Old Style"/>
          <w:sz w:val="24"/>
          <w:szCs w:val="24"/>
        </w:rPr>
        <w:t>,</w:t>
      </w:r>
      <w:r w:rsidR="00010377" w:rsidRPr="00373133">
        <w:rPr>
          <w:rFonts w:ascii="Bookman Old Style" w:hAnsi="Bookman Old Style"/>
          <w:sz w:val="24"/>
          <w:szCs w:val="24"/>
        </w:rPr>
        <w:t xml:space="preserve"> το αποκήρυξε ρητώς </w:t>
      </w:r>
      <w:r w:rsidR="00891811" w:rsidRPr="00373133">
        <w:rPr>
          <w:rFonts w:ascii="Bookman Old Style" w:hAnsi="Bookman Old Style"/>
          <w:sz w:val="24"/>
          <w:szCs w:val="24"/>
        </w:rPr>
        <w:t>ω</w:t>
      </w:r>
      <w:r w:rsidR="00010377" w:rsidRPr="00373133">
        <w:rPr>
          <w:rFonts w:ascii="Bookman Old Style" w:hAnsi="Bookman Old Style"/>
          <w:sz w:val="24"/>
          <w:szCs w:val="24"/>
        </w:rPr>
        <w:t>ς μη υφιστάμενο, κατά τον τύπο και την ουσία του.  Η δε σύμπραξη -κατά πληροφορίες πά</w:t>
      </w:r>
      <w:r w:rsidR="00891811" w:rsidRPr="00373133">
        <w:rPr>
          <w:rFonts w:ascii="Bookman Old Style" w:hAnsi="Bookman Old Style"/>
          <w:sz w:val="24"/>
          <w:szCs w:val="24"/>
        </w:rPr>
        <w:t>ν</w:t>
      </w:r>
      <w:r w:rsidR="00010377" w:rsidRPr="00373133">
        <w:rPr>
          <w:rFonts w:ascii="Bookman Old Style" w:hAnsi="Bookman Old Style"/>
          <w:sz w:val="24"/>
          <w:szCs w:val="24"/>
        </w:rPr>
        <w:t xml:space="preserve">τα- του </w:t>
      </w:r>
      <w:r w:rsidRPr="00373133">
        <w:rPr>
          <w:rFonts w:ascii="Bookman Old Style" w:hAnsi="Bookman Old Style"/>
          <w:sz w:val="24"/>
          <w:szCs w:val="24"/>
        </w:rPr>
        <w:t xml:space="preserve">αναρμόδιου </w:t>
      </w:r>
      <w:r w:rsidR="00010377" w:rsidRPr="00373133">
        <w:rPr>
          <w:rFonts w:ascii="Bookman Old Style" w:hAnsi="Bookman Old Style"/>
          <w:sz w:val="24"/>
          <w:szCs w:val="24"/>
        </w:rPr>
        <w:t>Συμβουλίου Εθνικής Ασφάλειας της Λιβύης ουδόλως και κατ’ ουδένα τρόπο, κατά τ</w:t>
      </w:r>
      <w:r w:rsidR="00306959" w:rsidRPr="00373133">
        <w:rPr>
          <w:rFonts w:ascii="Bookman Old Style" w:hAnsi="Bookman Old Style"/>
          <w:sz w:val="24"/>
          <w:szCs w:val="24"/>
        </w:rPr>
        <w:t>α</w:t>
      </w:r>
      <w:r w:rsidR="00010377" w:rsidRPr="00373133">
        <w:rPr>
          <w:rFonts w:ascii="Bookman Old Style" w:hAnsi="Bookman Old Style"/>
          <w:sz w:val="24"/>
          <w:szCs w:val="24"/>
        </w:rPr>
        <w:t xml:space="preserve"> </w:t>
      </w:r>
      <w:proofErr w:type="spellStart"/>
      <w:r w:rsidR="00010377" w:rsidRPr="00373133">
        <w:rPr>
          <w:rFonts w:ascii="Bookman Old Style" w:hAnsi="Bookman Old Style"/>
          <w:sz w:val="24"/>
          <w:szCs w:val="24"/>
        </w:rPr>
        <w:t>προλεχθέντα</w:t>
      </w:r>
      <w:proofErr w:type="spellEnd"/>
      <w:r w:rsidR="00010377" w:rsidRPr="00373133">
        <w:rPr>
          <w:rFonts w:ascii="Bookman Old Style" w:hAnsi="Bookman Old Style"/>
          <w:sz w:val="24"/>
          <w:szCs w:val="24"/>
        </w:rPr>
        <w:t>, μπορεί να καλ</w:t>
      </w:r>
      <w:r w:rsidR="00891811" w:rsidRPr="00373133">
        <w:rPr>
          <w:rFonts w:ascii="Bookman Old Style" w:hAnsi="Bookman Old Style"/>
          <w:sz w:val="24"/>
          <w:szCs w:val="24"/>
        </w:rPr>
        <w:t>ύ</w:t>
      </w:r>
      <w:r w:rsidR="00010377" w:rsidRPr="00373133">
        <w:rPr>
          <w:rFonts w:ascii="Bookman Old Style" w:hAnsi="Bookman Old Style"/>
          <w:sz w:val="24"/>
          <w:szCs w:val="24"/>
        </w:rPr>
        <w:t xml:space="preserve">ψει το κενό της μη σύμπραξης της αρμόδιας Βουλής των Αντιπροσώπων της Λιβύης.  </w:t>
      </w:r>
      <w:r w:rsidR="00F767AD" w:rsidRPr="00373133">
        <w:rPr>
          <w:rFonts w:ascii="Bookman Old Style" w:hAnsi="Bookman Old Style"/>
          <w:sz w:val="24"/>
          <w:szCs w:val="24"/>
        </w:rPr>
        <w:t>Εφόσον</w:t>
      </w:r>
      <w:r w:rsidR="00010377" w:rsidRPr="00373133">
        <w:rPr>
          <w:rFonts w:ascii="Bookman Old Style" w:hAnsi="Bookman Old Style"/>
          <w:sz w:val="24"/>
          <w:szCs w:val="24"/>
        </w:rPr>
        <w:t xml:space="preserve"> λοιπόν το «</w:t>
      </w:r>
      <w:proofErr w:type="spellStart"/>
      <w:r w:rsidR="00010377" w:rsidRPr="00373133">
        <w:rPr>
          <w:rFonts w:ascii="Bookman Old Style" w:hAnsi="Bookman Old Style"/>
          <w:sz w:val="24"/>
          <w:szCs w:val="24"/>
        </w:rPr>
        <w:t>τουρκολιβυκό</w:t>
      </w:r>
      <w:proofErr w:type="spellEnd"/>
      <w:r w:rsidR="00010377" w:rsidRPr="00373133">
        <w:rPr>
          <w:rFonts w:ascii="Bookman Old Style" w:hAnsi="Bookman Old Style"/>
          <w:sz w:val="24"/>
          <w:szCs w:val="24"/>
        </w:rPr>
        <w:t xml:space="preserve"> μνημόνιο, υπό τις ως άνω συνθήκες, έχει συναφθεί κατά παράβαση «θεμελιώδους σημασίας» διατάξεων του εσωτερικού δικαίου  της Λιβύης</w:t>
      </w:r>
      <w:r w:rsidR="00F767AD" w:rsidRPr="00373133">
        <w:rPr>
          <w:rFonts w:ascii="Bookman Old Style" w:hAnsi="Bookman Old Style"/>
          <w:sz w:val="24"/>
          <w:szCs w:val="24"/>
        </w:rPr>
        <w:t xml:space="preserve"> -άρα </w:t>
      </w:r>
      <w:r w:rsidR="00F767AD" w:rsidRPr="00373133">
        <w:rPr>
          <w:rFonts w:ascii="Bookman Old Style" w:hAnsi="Bookman Old Style"/>
          <w:sz w:val="24"/>
          <w:szCs w:val="24"/>
        </w:rPr>
        <w:lastRenderedPageBreak/>
        <w:t xml:space="preserve">φέρει το στίγμα βαρύτατου νομικού ελαττώματος- </w:t>
      </w:r>
      <w:r w:rsidR="00010377" w:rsidRPr="00373133">
        <w:rPr>
          <w:rFonts w:ascii="Bookman Old Style" w:hAnsi="Bookman Old Style"/>
          <w:sz w:val="24"/>
          <w:szCs w:val="24"/>
        </w:rPr>
        <w:t xml:space="preserve">με βάση την προαναφερόμενη ερμηνεία και εφαρμογή των διατάξεων του άρθρου 46 παρ. 1 της Σύμβασης της Βιέννης είναι ανυπόστατο. </w:t>
      </w:r>
    </w:p>
    <w:p w:rsidR="002E4E1E" w:rsidRPr="00373133" w:rsidRDefault="00F767AD" w:rsidP="00373133">
      <w:pPr>
        <w:pStyle w:val="a5"/>
        <w:spacing w:before="240" w:line="360" w:lineRule="auto"/>
        <w:ind w:left="1134" w:hanging="283"/>
        <w:contextualSpacing w:val="0"/>
        <w:jc w:val="both"/>
        <w:rPr>
          <w:rFonts w:ascii="Bookman Old Style" w:hAnsi="Bookman Old Style"/>
          <w:sz w:val="24"/>
          <w:szCs w:val="24"/>
        </w:rPr>
      </w:pPr>
      <w:r w:rsidRPr="00373133">
        <w:rPr>
          <w:rFonts w:ascii="Bookman Old Style" w:hAnsi="Bookman Old Style"/>
          <w:b/>
          <w:sz w:val="24"/>
          <w:szCs w:val="24"/>
        </w:rPr>
        <w:t xml:space="preserve">δ) </w:t>
      </w:r>
      <w:r w:rsidR="00010377" w:rsidRPr="00373133">
        <w:rPr>
          <w:rFonts w:ascii="Bookman Old Style" w:hAnsi="Bookman Old Style"/>
          <w:sz w:val="24"/>
          <w:szCs w:val="24"/>
        </w:rPr>
        <w:t xml:space="preserve">Και το ανυπόστατο </w:t>
      </w:r>
      <w:r w:rsidRPr="00373133">
        <w:rPr>
          <w:rFonts w:ascii="Bookman Old Style" w:hAnsi="Bookman Old Style"/>
          <w:sz w:val="24"/>
          <w:szCs w:val="24"/>
        </w:rPr>
        <w:t>τούτο</w:t>
      </w:r>
      <w:r w:rsidR="00010377" w:rsidRPr="00373133">
        <w:rPr>
          <w:rFonts w:ascii="Bookman Old Style" w:hAnsi="Bookman Old Style"/>
          <w:sz w:val="24"/>
          <w:szCs w:val="24"/>
        </w:rPr>
        <w:t xml:space="preserve"> μπορεί να το επικαλεσθεί, κατά την </w:t>
      </w:r>
      <w:proofErr w:type="spellStart"/>
      <w:r w:rsidR="00010377" w:rsidRPr="00373133">
        <w:rPr>
          <w:rFonts w:ascii="Bookman Old Style" w:hAnsi="Bookman Old Style"/>
          <w:sz w:val="24"/>
          <w:szCs w:val="24"/>
        </w:rPr>
        <w:t>προηγηθείσα</w:t>
      </w:r>
      <w:proofErr w:type="spellEnd"/>
      <w:r w:rsidR="00010377" w:rsidRPr="00373133">
        <w:rPr>
          <w:rFonts w:ascii="Bookman Old Style" w:hAnsi="Bookman Old Style"/>
          <w:sz w:val="24"/>
          <w:szCs w:val="24"/>
        </w:rPr>
        <w:t xml:space="preserve"> σειρά συλλογισμών, τόσον η Λιβύη όσο και κάθε τρίτο μέρος -όπως π.χ. η Ελλάδα και η Ευρωπαϊκή Ένωση</w:t>
      </w:r>
      <w:r w:rsidRPr="00373133">
        <w:rPr>
          <w:rFonts w:ascii="Bookman Old Style" w:hAnsi="Bookman Old Style"/>
          <w:sz w:val="24"/>
          <w:szCs w:val="24"/>
        </w:rPr>
        <w:t>-</w:t>
      </w:r>
      <w:r w:rsidR="00010377" w:rsidRPr="00373133">
        <w:rPr>
          <w:rFonts w:ascii="Bookman Old Style" w:hAnsi="Bookman Old Style"/>
          <w:sz w:val="24"/>
          <w:szCs w:val="24"/>
        </w:rPr>
        <w:t xml:space="preserve"> εφόσον επικαλ</w:t>
      </w:r>
      <w:r w:rsidRPr="00373133">
        <w:rPr>
          <w:rFonts w:ascii="Bookman Old Style" w:hAnsi="Bookman Old Style"/>
          <w:sz w:val="24"/>
          <w:szCs w:val="24"/>
        </w:rPr>
        <w:t>είται</w:t>
      </w:r>
      <w:r w:rsidR="00010377" w:rsidRPr="00373133">
        <w:rPr>
          <w:rFonts w:ascii="Bookman Old Style" w:hAnsi="Bookman Old Style"/>
          <w:sz w:val="24"/>
          <w:szCs w:val="24"/>
        </w:rPr>
        <w:t xml:space="preserve"> και αποδεικνύ</w:t>
      </w:r>
      <w:r w:rsidRPr="00373133">
        <w:rPr>
          <w:rFonts w:ascii="Bookman Old Style" w:hAnsi="Bookman Old Style"/>
          <w:sz w:val="24"/>
          <w:szCs w:val="24"/>
        </w:rPr>
        <w:t>ει</w:t>
      </w:r>
      <w:r w:rsidR="00010377" w:rsidRPr="00373133">
        <w:rPr>
          <w:rFonts w:ascii="Bookman Old Style" w:hAnsi="Bookman Old Style"/>
          <w:sz w:val="24"/>
          <w:szCs w:val="24"/>
        </w:rPr>
        <w:t xml:space="preserve"> έννομο συμφέρον. </w:t>
      </w:r>
      <w:r w:rsidRPr="00373133">
        <w:rPr>
          <w:rFonts w:ascii="Bookman Old Style" w:hAnsi="Bookman Old Style"/>
          <w:sz w:val="24"/>
          <w:szCs w:val="24"/>
        </w:rPr>
        <w:t xml:space="preserve"> </w:t>
      </w:r>
      <w:r w:rsidR="00E106FA" w:rsidRPr="00373133">
        <w:rPr>
          <w:rFonts w:ascii="Bookman Old Style" w:hAnsi="Bookman Old Style"/>
          <w:sz w:val="24"/>
          <w:szCs w:val="24"/>
        </w:rPr>
        <w:t>Σ</w:t>
      </w:r>
      <w:r w:rsidRPr="00373133">
        <w:rPr>
          <w:rFonts w:ascii="Bookman Old Style" w:hAnsi="Bookman Old Style"/>
          <w:sz w:val="24"/>
          <w:szCs w:val="24"/>
        </w:rPr>
        <w:t xml:space="preserve">το σημείο αυτό είναι ανάγκη να διευκρινισθεί ότι η εκ μέρους του τρίτου μέρους </w:t>
      </w:r>
      <w:r w:rsidR="00E106FA" w:rsidRPr="00373133">
        <w:rPr>
          <w:rFonts w:ascii="Bookman Old Style" w:hAnsi="Bookman Old Style"/>
          <w:sz w:val="24"/>
          <w:szCs w:val="24"/>
        </w:rPr>
        <w:t>επίκληση</w:t>
      </w:r>
      <w:r w:rsidRPr="00373133">
        <w:rPr>
          <w:rFonts w:ascii="Bookman Old Style" w:hAnsi="Bookman Old Style"/>
          <w:sz w:val="24"/>
          <w:szCs w:val="24"/>
        </w:rPr>
        <w:t xml:space="preserve"> του </w:t>
      </w:r>
      <w:proofErr w:type="spellStart"/>
      <w:r w:rsidRPr="00373133">
        <w:rPr>
          <w:rFonts w:ascii="Bookman Old Style" w:hAnsi="Bookman Old Style"/>
          <w:sz w:val="24"/>
          <w:szCs w:val="24"/>
        </w:rPr>
        <w:t>ανυποστάτου</w:t>
      </w:r>
      <w:proofErr w:type="spellEnd"/>
      <w:r w:rsidRPr="00373133">
        <w:rPr>
          <w:rFonts w:ascii="Bookman Old Style" w:hAnsi="Bookman Old Style"/>
          <w:sz w:val="24"/>
          <w:szCs w:val="24"/>
        </w:rPr>
        <w:t xml:space="preserve"> του «</w:t>
      </w:r>
      <w:proofErr w:type="spellStart"/>
      <w:r w:rsidRPr="00373133">
        <w:rPr>
          <w:rFonts w:ascii="Bookman Old Style" w:hAnsi="Bookman Old Style"/>
          <w:sz w:val="24"/>
          <w:szCs w:val="24"/>
        </w:rPr>
        <w:t>τουρκολιβυκού</w:t>
      </w:r>
      <w:proofErr w:type="spellEnd"/>
      <w:r w:rsidRPr="00373133">
        <w:rPr>
          <w:rFonts w:ascii="Bookman Old Style" w:hAnsi="Bookman Old Style"/>
          <w:sz w:val="24"/>
          <w:szCs w:val="24"/>
        </w:rPr>
        <w:t xml:space="preserve"> μνημονίου» είναι καθ’ όλα νομικώς επιτρεπτή ανεξαρτήτως του αν η ίδια η Λιβύη, δια των αρμοδίων οργάνων της κατά το εσωτερικό της δίκαιο, προσφύγει στην άσκηση του κατά τις διατάξεις του άρθρου 46 παρ. 1 της Σύμβασης της Βιέννης δικαιώματός της, σύμφωνα με όσα ήδη εκτέθηκαν αναλυτικώς. </w:t>
      </w:r>
    </w:p>
    <w:p w:rsidR="000B1BF3" w:rsidRDefault="000B1BF3" w:rsidP="000B1BF3">
      <w:pPr>
        <w:spacing w:before="240" w:line="360" w:lineRule="auto"/>
        <w:ind w:left="284" w:hanging="284"/>
        <w:jc w:val="both"/>
        <w:rPr>
          <w:rFonts w:ascii="Bookman Old Style" w:hAnsi="Bookman Old Style"/>
          <w:b/>
          <w:sz w:val="24"/>
          <w:szCs w:val="24"/>
        </w:rPr>
      </w:pPr>
      <w:r>
        <w:rPr>
          <w:rFonts w:ascii="Bookman Old Style" w:hAnsi="Bookman Old Style"/>
          <w:b/>
          <w:sz w:val="24"/>
          <w:szCs w:val="24"/>
        </w:rPr>
        <w:t>ΙΙ. Επιμέρους νομικά ελαττώματα του «</w:t>
      </w:r>
      <w:proofErr w:type="spellStart"/>
      <w:r>
        <w:rPr>
          <w:rFonts w:ascii="Bookman Old Style" w:hAnsi="Bookman Old Style"/>
          <w:b/>
          <w:sz w:val="24"/>
          <w:szCs w:val="24"/>
        </w:rPr>
        <w:t>τουρκολιβυκού</w:t>
      </w:r>
      <w:proofErr w:type="spellEnd"/>
      <w:r>
        <w:rPr>
          <w:rFonts w:ascii="Bookman Old Style" w:hAnsi="Bookman Old Style"/>
          <w:b/>
          <w:sz w:val="24"/>
          <w:szCs w:val="24"/>
        </w:rPr>
        <w:t xml:space="preserve"> μνημονίου», εξαιτίας των οποίων δεν παράγει έννομα αποτελέσματα έναντι της Ελλάδας και της Ευρωπαϊκής Ένωσης.</w:t>
      </w:r>
    </w:p>
    <w:p w:rsidR="00100478" w:rsidRDefault="00100478" w:rsidP="000B1BF3">
      <w:pPr>
        <w:spacing w:before="240" w:line="360" w:lineRule="auto"/>
        <w:ind w:left="284" w:hanging="284"/>
        <w:jc w:val="both"/>
        <w:rPr>
          <w:rFonts w:ascii="Bookman Old Style" w:hAnsi="Bookman Old Style"/>
          <w:sz w:val="24"/>
          <w:szCs w:val="24"/>
        </w:rPr>
      </w:pPr>
      <w:r>
        <w:rPr>
          <w:rFonts w:ascii="Bookman Old Style" w:hAnsi="Bookman Old Style"/>
          <w:b/>
          <w:sz w:val="24"/>
          <w:szCs w:val="24"/>
        </w:rPr>
        <w:tab/>
      </w:r>
      <w:r>
        <w:rPr>
          <w:rFonts w:ascii="Bookman Old Style" w:hAnsi="Bookman Old Style"/>
          <w:sz w:val="24"/>
          <w:szCs w:val="24"/>
        </w:rPr>
        <w:t xml:space="preserve">Πέραν του κατά τα προαναφερόμενα </w:t>
      </w:r>
      <w:proofErr w:type="spellStart"/>
      <w:r>
        <w:rPr>
          <w:rFonts w:ascii="Bookman Old Style" w:hAnsi="Bookman Old Style"/>
          <w:sz w:val="24"/>
          <w:szCs w:val="24"/>
        </w:rPr>
        <w:t>ανυποστάτου</w:t>
      </w:r>
      <w:proofErr w:type="spellEnd"/>
      <w:r>
        <w:rPr>
          <w:rFonts w:ascii="Bookman Old Style" w:hAnsi="Bookman Old Style"/>
          <w:sz w:val="24"/>
          <w:szCs w:val="24"/>
        </w:rPr>
        <w:t>, λόγω των βαρύτατων νομικώ</w:t>
      </w:r>
      <w:r w:rsidR="00E106FA">
        <w:rPr>
          <w:rFonts w:ascii="Bookman Old Style" w:hAnsi="Bookman Old Style"/>
          <w:sz w:val="24"/>
          <w:szCs w:val="24"/>
        </w:rPr>
        <w:t>ν</w:t>
      </w:r>
      <w:r>
        <w:rPr>
          <w:rFonts w:ascii="Bookman Old Style" w:hAnsi="Bookman Old Style"/>
          <w:sz w:val="24"/>
          <w:szCs w:val="24"/>
        </w:rPr>
        <w:t xml:space="preserve"> πλημμελειών κατά την σύναψή του, το «</w:t>
      </w:r>
      <w:proofErr w:type="spellStart"/>
      <w:r>
        <w:rPr>
          <w:rFonts w:ascii="Bookman Old Style" w:hAnsi="Bookman Old Style"/>
          <w:sz w:val="24"/>
          <w:szCs w:val="24"/>
        </w:rPr>
        <w:t>τουρκολιβυκό</w:t>
      </w:r>
      <w:proofErr w:type="spellEnd"/>
      <w:r>
        <w:rPr>
          <w:rFonts w:ascii="Bookman Old Style" w:hAnsi="Bookman Old Style"/>
          <w:sz w:val="24"/>
          <w:szCs w:val="24"/>
        </w:rPr>
        <w:t xml:space="preserve"> μνημόνιο» εμφανίζει και άλλα, άκρως προβληματικά </w:t>
      </w:r>
      <w:r w:rsidR="00E106FA">
        <w:rPr>
          <w:rFonts w:ascii="Bookman Old Style" w:hAnsi="Bookman Old Style"/>
          <w:sz w:val="24"/>
          <w:szCs w:val="24"/>
        </w:rPr>
        <w:t>έ</w:t>
      </w:r>
      <w:r>
        <w:rPr>
          <w:rFonts w:ascii="Bookman Old Style" w:hAnsi="Bookman Old Style"/>
          <w:sz w:val="24"/>
          <w:szCs w:val="24"/>
        </w:rPr>
        <w:t>ως νομικώς αδιανόητα, ελαττώματα, εξαιτίας των οποίων τρίτα μέρη, ιδίως δε η Ελλάδα και η Ευρωπαϊκή Ένωση, έχουν έννομο συμφέρον αλλά και δικαίωμα ν’ αντιτάξουν σε Τουρκία και Λιβύη ότι το περιεχόμενό του δεν είναι γι’ αυτ</w:t>
      </w:r>
      <w:r w:rsidR="00E106FA">
        <w:rPr>
          <w:rFonts w:ascii="Bookman Old Style" w:hAnsi="Bookman Old Style"/>
          <w:sz w:val="24"/>
          <w:szCs w:val="24"/>
        </w:rPr>
        <w:t>ά</w:t>
      </w:r>
      <w:r>
        <w:rPr>
          <w:rFonts w:ascii="Bookman Old Style" w:hAnsi="Bookman Old Style"/>
          <w:sz w:val="24"/>
          <w:szCs w:val="24"/>
        </w:rPr>
        <w:t>, κατ’ ουδένα τρόπο, δεσμευτικό.  Το πιο σημαντικό από τα ελαττώμ</w:t>
      </w:r>
      <w:r w:rsidR="004B5233">
        <w:rPr>
          <w:rFonts w:ascii="Bookman Old Style" w:hAnsi="Bookman Old Style"/>
          <w:sz w:val="24"/>
          <w:szCs w:val="24"/>
        </w:rPr>
        <w:t>α</w:t>
      </w:r>
      <w:r>
        <w:rPr>
          <w:rFonts w:ascii="Bookman Old Style" w:hAnsi="Bookman Old Style"/>
          <w:sz w:val="24"/>
          <w:szCs w:val="24"/>
        </w:rPr>
        <w:t>τα αυτά είναι εκείνο, το οποίο συνίσταται στο ότι το «</w:t>
      </w:r>
      <w:proofErr w:type="spellStart"/>
      <w:r>
        <w:rPr>
          <w:rFonts w:ascii="Bookman Old Style" w:hAnsi="Bookman Old Style"/>
          <w:sz w:val="24"/>
          <w:szCs w:val="24"/>
        </w:rPr>
        <w:t>τουρκολιβυκό</w:t>
      </w:r>
      <w:proofErr w:type="spellEnd"/>
      <w:r>
        <w:rPr>
          <w:rFonts w:ascii="Bookman Old Style" w:hAnsi="Bookman Old Style"/>
          <w:sz w:val="24"/>
          <w:szCs w:val="24"/>
        </w:rPr>
        <w:t xml:space="preserve"> μνημόνιο, παραβιάζει καταφώ</w:t>
      </w:r>
      <w:r w:rsidR="004B5233">
        <w:rPr>
          <w:rFonts w:ascii="Bookman Old Style" w:hAnsi="Bookman Old Style"/>
          <w:sz w:val="24"/>
          <w:szCs w:val="24"/>
        </w:rPr>
        <w:t>ρ</w:t>
      </w:r>
      <w:r>
        <w:rPr>
          <w:rFonts w:ascii="Bookman Old Style" w:hAnsi="Bookman Old Style"/>
          <w:sz w:val="24"/>
          <w:szCs w:val="24"/>
        </w:rPr>
        <w:t xml:space="preserve">ως πολλές και ουσιώδεις διατάξεις της «Σύμβασης του </w:t>
      </w:r>
      <w:r>
        <w:rPr>
          <w:rFonts w:ascii="Bookman Old Style" w:hAnsi="Bookman Old Style"/>
          <w:sz w:val="24"/>
          <w:szCs w:val="24"/>
          <w:lang w:val="en-US"/>
        </w:rPr>
        <w:t>Montego</w:t>
      </w:r>
      <w:r w:rsidRPr="00100478">
        <w:rPr>
          <w:rFonts w:ascii="Bookman Old Style" w:hAnsi="Bookman Old Style"/>
          <w:sz w:val="24"/>
          <w:szCs w:val="24"/>
        </w:rPr>
        <w:t xml:space="preserve"> </w:t>
      </w:r>
      <w:r>
        <w:rPr>
          <w:rFonts w:ascii="Bookman Old Style" w:hAnsi="Bookman Old Style"/>
          <w:sz w:val="24"/>
          <w:szCs w:val="24"/>
          <w:lang w:val="en-US"/>
        </w:rPr>
        <w:t>Bay</w:t>
      </w:r>
      <w:r>
        <w:rPr>
          <w:rFonts w:ascii="Bookman Old Style" w:hAnsi="Bookman Old Style"/>
          <w:sz w:val="24"/>
          <w:szCs w:val="24"/>
        </w:rPr>
        <w:t>»</w:t>
      </w:r>
      <w:r w:rsidR="00F8491F">
        <w:rPr>
          <w:rFonts w:ascii="Bookman Old Style" w:hAnsi="Bookman Old Style"/>
          <w:sz w:val="24"/>
          <w:szCs w:val="24"/>
        </w:rPr>
        <w:t xml:space="preserve"> του 1982, όπως μάλιστα αυτές έχουν ερμηνευθεί από την νομολογία του Διεθνούς Δικαστηρίου της Χάγης.  Επιπλέον, και σύμφωνα με τα όσα ήδη έχουν </w:t>
      </w:r>
      <w:r w:rsidR="00E106FA">
        <w:rPr>
          <w:rFonts w:ascii="Bookman Old Style" w:hAnsi="Bookman Old Style"/>
          <w:sz w:val="24"/>
          <w:szCs w:val="24"/>
        </w:rPr>
        <w:t>διευκρινισθεί</w:t>
      </w:r>
      <w:r w:rsidR="00F8491F">
        <w:rPr>
          <w:rFonts w:ascii="Bookman Old Style" w:hAnsi="Bookman Old Style"/>
          <w:sz w:val="24"/>
          <w:szCs w:val="24"/>
        </w:rPr>
        <w:t>, η αρχή «</w:t>
      </w:r>
      <w:r w:rsidR="00F8491F">
        <w:rPr>
          <w:rFonts w:ascii="Bookman Old Style" w:hAnsi="Bookman Old Style"/>
          <w:sz w:val="24"/>
          <w:szCs w:val="24"/>
          <w:lang w:val="en-US"/>
        </w:rPr>
        <w:t>res</w:t>
      </w:r>
      <w:r w:rsidR="00F8491F" w:rsidRPr="00F8491F">
        <w:rPr>
          <w:rFonts w:ascii="Bookman Old Style" w:hAnsi="Bookman Old Style"/>
          <w:sz w:val="24"/>
          <w:szCs w:val="24"/>
        </w:rPr>
        <w:t xml:space="preserve"> </w:t>
      </w:r>
      <w:r w:rsidR="00E106FA">
        <w:rPr>
          <w:rFonts w:ascii="Bookman Old Style" w:hAnsi="Bookman Old Style"/>
          <w:sz w:val="24"/>
          <w:szCs w:val="24"/>
          <w:lang w:val="en-US"/>
        </w:rPr>
        <w:t>inter</w:t>
      </w:r>
      <w:r w:rsidR="00E106FA" w:rsidRPr="00E106FA">
        <w:rPr>
          <w:rFonts w:ascii="Bookman Old Style" w:hAnsi="Bookman Old Style"/>
          <w:sz w:val="24"/>
          <w:szCs w:val="24"/>
        </w:rPr>
        <w:t xml:space="preserve"> </w:t>
      </w:r>
      <w:proofErr w:type="spellStart"/>
      <w:r w:rsidR="00F8491F">
        <w:rPr>
          <w:rFonts w:ascii="Bookman Old Style" w:hAnsi="Bookman Old Style"/>
          <w:sz w:val="24"/>
          <w:szCs w:val="24"/>
          <w:lang w:val="en-US"/>
        </w:rPr>
        <w:t>alios</w:t>
      </w:r>
      <w:proofErr w:type="spellEnd"/>
      <w:r w:rsidR="00F8491F" w:rsidRPr="00F8491F">
        <w:rPr>
          <w:rFonts w:ascii="Bookman Old Style" w:hAnsi="Bookman Old Style"/>
          <w:sz w:val="24"/>
          <w:szCs w:val="24"/>
        </w:rPr>
        <w:t xml:space="preserve"> </w:t>
      </w:r>
      <w:r w:rsidR="00F8491F">
        <w:rPr>
          <w:rFonts w:ascii="Bookman Old Style" w:hAnsi="Bookman Old Style"/>
          <w:sz w:val="24"/>
          <w:szCs w:val="24"/>
          <w:lang w:val="en-US"/>
        </w:rPr>
        <w:t>acta</w:t>
      </w:r>
      <w:r w:rsidR="00F8491F">
        <w:rPr>
          <w:rFonts w:ascii="Bookman Old Style" w:hAnsi="Bookman Old Style"/>
          <w:sz w:val="24"/>
          <w:szCs w:val="24"/>
        </w:rPr>
        <w:t>» στο πεδίο του Διεθνούς Δικαίου λειτουργεί και ως προς το «</w:t>
      </w:r>
      <w:proofErr w:type="spellStart"/>
      <w:r w:rsidR="00F8491F">
        <w:rPr>
          <w:rFonts w:ascii="Bookman Old Style" w:hAnsi="Bookman Old Style"/>
          <w:sz w:val="24"/>
          <w:szCs w:val="24"/>
        </w:rPr>
        <w:t>τουρκολιβυκό</w:t>
      </w:r>
      <w:proofErr w:type="spellEnd"/>
      <w:r w:rsidR="00F8491F">
        <w:rPr>
          <w:rFonts w:ascii="Bookman Old Style" w:hAnsi="Bookman Old Style"/>
          <w:sz w:val="24"/>
          <w:szCs w:val="24"/>
        </w:rPr>
        <w:t xml:space="preserve"> μνημόνιο», άρα αυτό δεν μπορεί να </w:t>
      </w:r>
      <w:r w:rsidR="00F8491F">
        <w:rPr>
          <w:rFonts w:ascii="Bookman Old Style" w:hAnsi="Bookman Old Style"/>
          <w:sz w:val="24"/>
          <w:szCs w:val="24"/>
        </w:rPr>
        <w:lastRenderedPageBreak/>
        <w:t xml:space="preserve">παραγάγει έννομα αποτελέσματα έναντι τρίτων, όπως η Ελλάδα και η Ευρωπαϊκή Ένωση. </w:t>
      </w:r>
    </w:p>
    <w:p w:rsidR="00F8491F" w:rsidRDefault="00F8491F" w:rsidP="00F8491F">
      <w:pPr>
        <w:spacing w:before="240" w:line="360" w:lineRule="auto"/>
        <w:ind w:left="567" w:hanging="283"/>
        <w:jc w:val="both"/>
        <w:rPr>
          <w:rFonts w:ascii="Bookman Old Style" w:hAnsi="Bookman Old Style"/>
          <w:sz w:val="24"/>
          <w:szCs w:val="24"/>
        </w:rPr>
      </w:pPr>
      <w:r>
        <w:rPr>
          <w:rFonts w:ascii="Bookman Old Style" w:hAnsi="Bookman Old Style"/>
          <w:b/>
          <w:sz w:val="24"/>
          <w:szCs w:val="24"/>
        </w:rPr>
        <w:t xml:space="preserve">Α. </w:t>
      </w:r>
      <w:r w:rsidRPr="00F8491F">
        <w:rPr>
          <w:rFonts w:ascii="Bookman Old Style" w:hAnsi="Bookman Old Style"/>
          <w:b/>
          <w:sz w:val="24"/>
          <w:szCs w:val="24"/>
        </w:rPr>
        <w:t xml:space="preserve">Η κατάφωρη παραβίαση διατάξεων της Σύμβασης του </w:t>
      </w:r>
      <w:r w:rsidRPr="00F8491F">
        <w:rPr>
          <w:rFonts w:ascii="Bookman Old Style" w:hAnsi="Bookman Old Style"/>
          <w:b/>
          <w:sz w:val="24"/>
          <w:szCs w:val="24"/>
          <w:lang w:val="en-US"/>
        </w:rPr>
        <w:t>Montego</w:t>
      </w:r>
      <w:r w:rsidRPr="00F8491F">
        <w:rPr>
          <w:rFonts w:ascii="Bookman Old Style" w:hAnsi="Bookman Old Style"/>
          <w:b/>
          <w:sz w:val="24"/>
          <w:szCs w:val="24"/>
        </w:rPr>
        <w:t xml:space="preserve"> </w:t>
      </w:r>
      <w:r w:rsidRPr="00F8491F">
        <w:rPr>
          <w:rFonts w:ascii="Bookman Old Style" w:hAnsi="Bookman Old Style"/>
          <w:b/>
          <w:sz w:val="24"/>
          <w:szCs w:val="24"/>
          <w:lang w:val="en-US"/>
        </w:rPr>
        <w:t>Bay</w:t>
      </w:r>
      <w:r w:rsidRPr="00F8491F">
        <w:rPr>
          <w:rFonts w:ascii="Bookman Old Style" w:hAnsi="Bookman Old Style"/>
          <w:b/>
          <w:sz w:val="24"/>
          <w:szCs w:val="24"/>
        </w:rPr>
        <w:t xml:space="preserve"> από το «</w:t>
      </w:r>
      <w:proofErr w:type="spellStart"/>
      <w:r w:rsidRPr="00F8491F">
        <w:rPr>
          <w:rFonts w:ascii="Bookman Old Style" w:hAnsi="Bookman Old Style"/>
          <w:b/>
          <w:sz w:val="24"/>
          <w:szCs w:val="24"/>
        </w:rPr>
        <w:t>τουρκολιβυκό</w:t>
      </w:r>
      <w:proofErr w:type="spellEnd"/>
      <w:r w:rsidRPr="00F8491F">
        <w:rPr>
          <w:rFonts w:ascii="Bookman Old Style" w:hAnsi="Bookman Old Style"/>
          <w:b/>
          <w:sz w:val="24"/>
          <w:szCs w:val="24"/>
        </w:rPr>
        <w:t xml:space="preserve"> μνημόνιο» και οι συνέπειές της.</w:t>
      </w:r>
      <w:r>
        <w:rPr>
          <w:rFonts w:ascii="Bookman Old Style" w:hAnsi="Bookman Old Style"/>
          <w:sz w:val="24"/>
          <w:szCs w:val="24"/>
        </w:rPr>
        <w:t xml:space="preserve"> </w:t>
      </w:r>
    </w:p>
    <w:p w:rsidR="00F8491F" w:rsidRDefault="00F8491F" w:rsidP="00F8491F">
      <w:pPr>
        <w:spacing w:before="240" w:line="360" w:lineRule="auto"/>
        <w:ind w:left="567" w:hanging="283"/>
        <w:jc w:val="both"/>
        <w:rPr>
          <w:rFonts w:ascii="Bookman Old Style" w:hAnsi="Bookman Old Style"/>
          <w:sz w:val="24"/>
          <w:szCs w:val="24"/>
        </w:rPr>
      </w:pPr>
      <w:r>
        <w:rPr>
          <w:rFonts w:ascii="Bookman Old Style" w:hAnsi="Bookman Old Style"/>
          <w:b/>
          <w:sz w:val="24"/>
          <w:szCs w:val="24"/>
        </w:rPr>
        <w:tab/>
      </w:r>
      <w:r>
        <w:rPr>
          <w:rFonts w:ascii="Bookman Old Style" w:hAnsi="Bookman Old Style"/>
          <w:sz w:val="24"/>
          <w:szCs w:val="24"/>
        </w:rPr>
        <w:t>Μια απλή ανάγνωση των «ρυθμίσεων» του «</w:t>
      </w:r>
      <w:proofErr w:type="spellStart"/>
      <w:r>
        <w:rPr>
          <w:rFonts w:ascii="Bookman Old Style" w:hAnsi="Bookman Old Style"/>
          <w:sz w:val="24"/>
          <w:szCs w:val="24"/>
        </w:rPr>
        <w:t>τουρκολιβυκού</w:t>
      </w:r>
      <w:proofErr w:type="spellEnd"/>
      <w:r>
        <w:rPr>
          <w:rFonts w:ascii="Bookman Old Style" w:hAnsi="Bookman Old Style"/>
          <w:sz w:val="24"/>
          <w:szCs w:val="24"/>
        </w:rPr>
        <w:t xml:space="preserve"> μνημονίου»</w:t>
      </w:r>
      <w:r w:rsidR="00E106FA">
        <w:rPr>
          <w:rFonts w:ascii="Bookman Old Style" w:hAnsi="Bookman Old Style"/>
          <w:sz w:val="24"/>
          <w:szCs w:val="24"/>
        </w:rPr>
        <w:t>,</w:t>
      </w:r>
      <w:r>
        <w:rPr>
          <w:rFonts w:ascii="Bookman Old Style" w:hAnsi="Bookman Old Style"/>
          <w:sz w:val="24"/>
          <w:szCs w:val="24"/>
        </w:rPr>
        <w:t xml:space="preserve"> που αναφέρονται στην χάραξη ΑΟΖ μεταξύ Τουρκίας και Λιβύης</w:t>
      </w:r>
      <w:r w:rsidR="00E106FA">
        <w:rPr>
          <w:rFonts w:ascii="Bookman Old Style" w:hAnsi="Bookman Old Style"/>
          <w:sz w:val="24"/>
          <w:szCs w:val="24"/>
        </w:rPr>
        <w:t>,</w:t>
      </w:r>
      <w:r>
        <w:rPr>
          <w:rFonts w:ascii="Bookman Old Style" w:hAnsi="Bookman Old Style"/>
          <w:sz w:val="24"/>
          <w:szCs w:val="24"/>
        </w:rPr>
        <w:t xml:space="preserve"> καταδεικνύει ότι </w:t>
      </w:r>
      <w:r w:rsidR="00E106FA">
        <w:rPr>
          <w:rFonts w:ascii="Bookman Old Style" w:hAnsi="Bookman Old Style"/>
          <w:sz w:val="24"/>
          <w:szCs w:val="24"/>
        </w:rPr>
        <w:t xml:space="preserve">οι </w:t>
      </w:r>
      <w:r>
        <w:rPr>
          <w:rFonts w:ascii="Bookman Old Style" w:hAnsi="Bookman Old Style"/>
          <w:sz w:val="24"/>
          <w:szCs w:val="24"/>
        </w:rPr>
        <w:t xml:space="preserve">μέσω αυτών παραβιάσεις της «Σύμβασης του </w:t>
      </w:r>
      <w:r>
        <w:rPr>
          <w:rFonts w:ascii="Bookman Old Style" w:hAnsi="Bookman Old Style"/>
          <w:sz w:val="24"/>
          <w:szCs w:val="24"/>
          <w:lang w:val="en-US"/>
        </w:rPr>
        <w:t>Montego</w:t>
      </w:r>
      <w:r w:rsidRPr="00F8491F">
        <w:rPr>
          <w:rFonts w:ascii="Bookman Old Style" w:hAnsi="Bookman Old Style"/>
          <w:sz w:val="24"/>
          <w:szCs w:val="24"/>
        </w:rPr>
        <w:t xml:space="preserve"> </w:t>
      </w:r>
      <w:r>
        <w:rPr>
          <w:rFonts w:ascii="Bookman Old Style" w:hAnsi="Bookman Old Style"/>
          <w:sz w:val="24"/>
          <w:szCs w:val="24"/>
          <w:lang w:val="en-US"/>
        </w:rPr>
        <w:t>Bay</w:t>
      </w:r>
      <w:r>
        <w:rPr>
          <w:rFonts w:ascii="Bookman Old Style" w:hAnsi="Bookman Old Style"/>
          <w:sz w:val="24"/>
          <w:szCs w:val="24"/>
        </w:rPr>
        <w:t xml:space="preserve">» του 1982 -δηλαδή του Δικαίου της Θάλασσας- είναι τόσο καταφανείς, ώστε οδηγούν στην συναγωγή του συμπεράσματος </w:t>
      </w:r>
      <w:r w:rsidR="00E106FA">
        <w:rPr>
          <w:rFonts w:ascii="Bookman Old Style" w:hAnsi="Bookman Old Style"/>
          <w:sz w:val="24"/>
          <w:szCs w:val="24"/>
        </w:rPr>
        <w:t>πως</w:t>
      </w:r>
      <w:r>
        <w:rPr>
          <w:rFonts w:ascii="Bookman Old Style" w:hAnsi="Bookman Old Style"/>
          <w:sz w:val="24"/>
          <w:szCs w:val="24"/>
        </w:rPr>
        <w:t xml:space="preserve"> τα συμβαλλόμενα μέρη διαμόρφωσαν το περιεχόμενό τους δίχως να υπολογίζουν τις </w:t>
      </w:r>
      <w:r w:rsidR="00E106FA">
        <w:rPr>
          <w:rFonts w:ascii="Bookman Old Style" w:hAnsi="Bookman Old Style"/>
          <w:sz w:val="24"/>
          <w:szCs w:val="24"/>
        </w:rPr>
        <w:t>προβλέψεις</w:t>
      </w:r>
      <w:r>
        <w:rPr>
          <w:rFonts w:ascii="Bookman Old Style" w:hAnsi="Bookman Old Style"/>
          <w:sz w:val="24"/>
          <w:szCs w:val="24"/>
        </w:rPr>
        <w:t xml:space="preserve"> πλειάδας ουσιωδών διατάξεων του Δικαίου τούτου. </w:t>
      </w:r>
      <w:r w:rsidR="00504711">
        <w:rPr>
          <w:rFonts w:ascii="Bookman Old Style" w:hAnsi="Bookman Old Style"/>
          <w:sz w:val="24"/>
          <w:szCs w:val="24"/>
        </w:rPr>
        <w:t>Δικαίου που, όπ</w:t>
      </w:r>
      <w:r w:rsidR="00B65B28">
        <w:rPr>
          <w:rFonts w:ascii="Bookman Old Style" w:hAnsi="Bookman Old Style"/>
          <w:sz w:val="24"/>
          <w:szCs w:val="24"/>
        </w:rPr>
        <w:t>ω</w:t>
      </w:r>
      <w:r w:rsidR="00504711">
        <w:rPr>
          <w:rFonts w:ascii="Bookman Old Style" w:hAnsi="Bookman Old Style"/>
          <w:sz w:val="24"/>
          <w:szCs w:val="24"/>
        </w:rPr>
        <w:t xml:space="preserve">ς ήδη έχει </w:t>
      </w:r>
      <w:r w:rsidR="00E106FA">
        <w:rPr>
          <w:rFonts w:ascii="Bookman Old Style" w:hAnsi="Bookman Old Style"/>
          <w:sz w:val="24"/>
          <w:szCs w:val="24"/>
        </w:rPr>
        <w:t>επανειλημμένως τονισθεί</w:t>
      </w:r>
      <w:r w:rsidR="00B65B28">
        <w:rPr>
          <w:rFonts w:ascii="Bookman Old Style" w:hAnsi="Bookman Old Style"/>
          <w:sz w:val="24"/>
          <w:szCs w:val="24"/>
        </w:rPr>
        <w:t xml:space="preserve">, δεσμεύει, μέσω εθιμικών κανόνων ή γενικώς παραδεδεγμένων αρχών του Διεθνούς Δικαίου σύμφωνα με την νομολογία του Διεθνούς Δικαστηρίου της Χάγης, και την Τουρκία έστω και αν η τελευταία δεν έχει προσχωρήσει στην «Σύμβαση του </w:t>
      </w:r>
      <w:r w:rsidR="00B65B28">
        <w:rPr>
          <w:rFonts w:ascii="Bookman Old Style" w:hAnsi="Bookman Old Style"/>
          <w:sz w:val="24"/>
          <w:szCs w:val="24"/>
          <w:lang w:val="en-US"/>
        </w:rPr>
        <w:t>Montego</w:t>
      </w:r>
      <w:r w:rsidR="00B65B28" w:rsidRPr="00B65B28">
        <w:rPr>
          <w:rFonts w:ascii="Bookman Old Style" w:hAnsi="Bookman Old Style"/>
          <w:sz w:val="24"/>
          <w:szCs w:val="24"/>
        </w:rPr>
        <w:t xml:space="preserve"> </w:t>
      </w:r>
      <w:r w:rsidR="00B65B28">
        <w:rPr>
          <w:rFonts w:ascii="Bookman Old Style" w:hAnsi="Bookman Old Style"/>
          <w:sz w:val="24"/>
          <w:szCs w:val="24"/>
          <w:lang w:val="en-US"/>
        </w:rPr>
        <w:t>Bay</w:t>
      </w:r>
      <w:r w:rsidR="00B65B28">
        <w:rPr>
          <w:rFonts w:ascii="Bookman Old Style" w:hAnsi="Bookman Old Style"/>
          <w:sz w:val="24"/>
          <w:szCs w:val="24"/>
        </w:rPr>
        <w:t>» του 1982</w:t>
      </w:r>
      <w:r w:rsidR="00E106FA">
        <w:rPr>
          <w:rFonts w:ascii="Bookman Old Style" w:hAnsi="Bookman Old Style"/>
          <w:sz w:val="24"/>
          <w:szCs w:val="24"/>
        </w:rPr>
        <w:t>.  Σύμβαση</w:t>
      </w:r>
      <w:r w:rsidR="00B65B28">
        <w:rPr>
          <w:rFonts w:ascii="Bookman Old Style" w:hAnsi="Bookman Old Style"/>
          <w:sz w:val="24"/>
          <w:szCs w:val="24"/>
        </w:rPr>
        <w:t xml:space="preserve"> η οποία</w:t>
      </w:r>
      <w:r w:rsidR="00E106FA">
        <w:rPr>
          <w:rFonts w:ascii="Bookman Old Style" w:hAnsi="Bookman Old Style"/>
          <w:sz w:val="24"/>
          <w:szCs w:val="24"/>
        </w:rPr>
        <w:t>,</w:t>
      </w:r>
      <w:r w:rsidR="00B65B28">
        <w:rPr>
          <w:rFonts w:ascii="Bookman Old Style" w:hAnsi="Bookman Old Style"/>
          <w:sz w:val="24"/>
          <w:szCs w:val="24"/>
        </w:rPr>
        <w:t xml:space="preserve"> μάλιστα</w:t>
      </w:r>
      <w:r w:rsidR="00E106FA">
        <w:rPr>
          <w:rFonts w:ascii="Bookman Old Style" w:hAnsi="Bookman Old Style"/>
          <w:sz w:val="24"/>
          <w:szCs w:val="24"/>
        </w:rPr>
        <w:t>,</w:t>
      </w:r>
      <w:r w:rsidR="00B65B28">
        <w:rPr>
          <w:rFonts w:ascii="Bookman Old Style" w:hAnsi="Bookman Old Style"/>
          <w:sz w:val="24"/>
          <w:szCs w:val="24"/>
        </w:rPr>
        <w:t xml:space="preserve"> αποτελεί αναπόσπαστο μέρος του Ευρωπαϊκού Κεκτημένου, λόγω της προσχώρησης σε αυτήν, αυτοτελώς, της Ευρωπαϊκής Ένωσης από το 1998. </w:t>
      </w:r>
    </w:p>
    <w:p w:rsidR="00B65B28" w:rsidRPr="00B65B28" w:rsidRDefault="00B65B28" w:rsidP="00B65B28">
      <w:pPr>
        <w:pStyle w:val="a5"/>
        <w:numPr>
          <w:ilvl w:val="0"/>
          <w:numId w:val="4"/>
        </w:numPr>
        <w:spacing w:before="240" w:line="360" w:lineRule="auto"/>
        <w:jc w:val="both"/>
        <w:rPr>
          <w:rFonts w:ascii="Bookman Old Style" w:hAnsi="Bookman Old Style"/>
          <w:b/>
          <w:sz w:val="24"/>
          <w:szCs w:val="24"/>
        </w:rPr>
      </w:pPr>
      <w:r>
        <w:rPr>
          <w:rFonts w:ascii="Bookman Old Style" w:hAnsi="Bookman Old Style"/>
          <w:b/>
          <w:sz w:val="24"/>
          <w:szCs w:val="24"/>
        </w:rPr>
        <w:t xml:space="preserve">Η οριοθέτηση ΑΟΖ με κατάφωρη παραβίαση της «Σύμβασης του </w:t>
      </w:r>
      <w:r>
        <w:rPr>
          <w:rFonts w:ascii="Bookman Old Style" w:hAnsi="Bookman Old Style"/>
          <w:b/>
          <w:sz w:val="24"/>
          <w:szCs w:val="24"/>
          <w:lang w:val="en-US"/>
        </w:rPr>
        <w:t>Montego</w:t>
      </w:r>
      <w:r w:rsidRPr="00B65B28">
        <w:rPr>
          <w:rFonts w:ascii="Bookman Old Style" w:hAnsi="Bookman Old Style"/>
          <w:b/>
          <w:sz w:val="24"/>
          <w:szCs w:val="24"/>
        </w:rPr>
        <w:t xml:space="preserve"> </w:t>
      </w:r>
      <w:r>
        <w:rPr>
          <w:rFonts w:ascii="Bookman Old Style" w:hAnsi="Bookman Old Style"/>
          <w:b/>
          <w:sz w:val="24"/>
          <w:szCs w:val="24"/>
          <w:lang w:val="en-US"/>
        </w:rPr>
        <w:t>Bay</w:t>
      </w:r>
      <w:r>
        <w:rPr>
          <w:rFonts w:ascii="Bookman Old Style" w:hAnsi="Bookman Old Style"/>
          <w:b/>
          <w:sz w:val="24"/>
          <w:szCs w:val="24"/>
        </w:rPr>
        <w:t xml:space="preserve">» του 1982 και των βασικών αρχών ερμηνείας της από την νομολογία του Διεθνούς Δικαστηρίου της Χάγης. </w:t>
      </w:r>
    </w:p>
    <w:p w:rsidR="006E41B0" w:rsidRDefault="00814BD7" w:rsidP="00437265">
      <w:pPr>
        <w:pStyle w:val="a5"/>
        <w:spacing w:before="240" w:line="360" w:lineRule="auto"/>
        <w:ind w:left="1134" w:hanging="283"/>
        <w:contextualSpacing w:val="0"/>
        <w:jc w:val="both"/>
        <w:rPr>
          <w:rFonts w:ascii="Bookman Old Style" w:hAnsi="Bookman Old Style"/>
          <w:sz w:val="24"/>
          <w:szCs w:val="24"/>
        </w:rPr>
      </w:pPr>
      <w:r>
        <w:rPr>
          <w:rFonts w:ascii="Bookman Old Style" w:hAnsi="Bookman Old Style"/>
          <w:sz w:val="24"/>
          <w:szCs w:val="24"/>
        </w:rPr>
        <w:t xml:space="preserve">Οι διατάξεις της «Σύμβασης του </w:t>
      </w:r>
      <w:r w:rsidR="00624C9F">
        <w:rPr>
          <w:rFonts w:ascii="Bookman Old Style" w:hAnsi="Bookman Old Style"/>
          <w:sz w:val="24"/>
          <w:szCs w:val="24"/>
        </w:rPr>
        <w:t>«</w:t>
      </w:r>
      <w:r w:rsidR="00624C9F">
        <w:rPr>
          <w:rFonts w:ascii="Bookman Old Style" w:hAnsi="Bookman Old Style"/>
          <w:sz w:val="24"/>
          <w:szCs w:val="24"/>
          <w:lang w:val="en-US"/>
        </w:rPr>
        <w:t>Montego</w:t>
      </w:r>
      <w:r w:rsidR="00624C9F" w:rsidRPr="00624C9F">
        <w:rPr>
          <w:rFonts w:ascii="Bookman Old Style" w:hAnsi="Bookman Old Style"/>
          <w:sz w:val="24"/>
          <w:szCs w:val="24"/>
        </w:rPr>
        <w:t xml:space="preserve"> </w:t>
      </w:r>
      <w:r w:rsidR="00624C9F">
        <w:rPr>
          <w:rFonts w:ascii="Bookman Old Style" w:hAnsi="Bookman Old Style"/>
          <w:sz w:val="24"/>
          <w:szCs w:val="24"/>
          <w:lang w:val="en-US"/>
        </w:rPr>
        <w:t>Bay</w:t>
      </w:r>
      <w:r w:rsidR="00624C9F">
        <w:rPr>
          <w:rFonts w:ascii="Bookman Old Style" w:hAnsi="Bookman Old Style"/>
          <w:sz w:val="24"/>
          <w:szCs w:val="24"/>
        </w:rPr>
        <w:t>» του 1982, όπως έχουν ερμηνευθεί από το Διεθνές Δικαστήριο της Χάγης, και ιδίως με βάση την νομολογία του κατά την τελευταία δεκαετία, περιέχουν αρκούντως σαφείς ρυθμίσεις ως προς το π</w:t>
      </w:r>
      <w:r w:rsidR="00306959">
        <w:rPr>
          <w:rFonts w:ascii="Bookman Old Style" w:hAnsi="Bookman Old Style"/>
          <w:sz w:val="24"/>
          <w:szCs w:val="24"/>
        </w:rPr>
        <w:t>ώ</w:t>
      </w:r>
      <w:r w:rsidR="00624C9F">
        <w:rPr>
          <w:rFonts w:ascii="Bookman Old Style" w:hAnsi="Bookman Old Style"/>
          <w:sz w:val="24"/>
          <w:szCs w:val="24"/>
        </w:rPr>
        <w:t xml:space="preserve">ς </w:t>
      </w:r>
      <w:proofErr w:type="spellStart"/>
      <w:r w:rsidR="00624C9F">
        <w:rPr>
          <w:rFonts w:ascii="Bookman Old Style" w:hAnsi="Bookman Old Style"/>
          <w:sz w:val="24"/>
          <w:szCs w:val="24"/>
        </w:rPr>
        <w:t>οριοθετείται</w:t>
      </w:r>
      <w:proofErr w:type="spellEnd"/>
      <w:r w:rsidR="00624C9F">
        <w:rPr>
          <w:rFonts w:ascii="Bookman Old Style" w:hAnsi="Bookman Old Style"/>
          <w:sz w:val="24"/>
          <w:szCs w:val="24"/>
        </w:rPr>
        <w:t xml:space="preserve"> η ΑΟΖ μεταξύ συνορευόντων Κρατών, ιδίως δε ρυθμίσεις ως προς την επιρροή των νησιών στην προκείμενη διαδικασία οριοθέτησης ΑΟΖ. </w:t>
      </w:r>
    </w:p>
    <w:p w:rsidR="00FA38F9" w:rsidRDefault="00FA38F9" w:rsidP="00437265">
      <w:pPr>
        <w:pStyle w:val="a5"/>
        <w:spacing w:before="240" w:line="360" w:lineRule="auto"/>
        <w:ind w:left="1134" w:hanging="283"/>
        <w:contextualSpacing w:val="0"/>
        <w:jc w:val="both"/>
        <w:rPr>
          <w:rFonts w:ascii="Bookman Old Style" w:hAnsi="Bookman Old Style"/>
          <w:sz w:val="24"/>
          <w:szCs w:val="24"/>
        </w:rPr>
      </w:pPr>
      <w:r>
        <w:rPr>
          <w:rFonts w:ascii="Bookman Old Style" w:hAnsi="Bookman Old Style"/>
          <w:sz w:val="24"/>
          <w:szCs w:val="24"/>
        </w:rPr>
        <w:lastRenderedPageBreak/>
        <w:tab/>
      </w:r>
      <w:r>
        <w:rPr>
          <w:rFonts w:ascii="Bookman Old Style" w:hAnsi="Bookman Old Style"/>
          <w:b/>
          <w:sz w:val="24"/>
          <w:szCs w:val="24"/>
        </w:rPr>
        <w:t xml:space="preserve">α) </w:t>
      </w:r>
      <w:r>
        <w:rPr>
          <w:rFonts w:ascii="Bookman Old Style" w:hAnsi="Bookman Old Style"/>
          <w:sz w:val="24"/>
          <w:szCs w:val="24"/>
        </w:rPr>
        <w:t>Όμως, η οριοθέτηση της ΑΟΖ που περιλαμβάνει το «</w:t>
      </w:r>
      <w:proofErr w:type="spellStart"/>
      <w:r>
        <w:rPr>
          <w:rFonts w:ascii="Bookman Old Style" w:hAnsi="Bookman Old Style"/>
          <w:sz w:val="24"/>
          <w:szCs w:val="24"/>
        </w:rPr>
        <w:t>τουρκολιβυκό</w:t>
      </w:r>
      <w:proofErr w:type="spellEnd"/>
      <w:r>
        <w:rPr>
          <w:rFonts w:ascii="Bookman Old Style" w:hAnsi="Bookman Old Style"/>
          <w:sz w:val="24"/>
          <w:szCs w:val="24"/>
        </w:rPr>
        <w:t xml:space="preserve"> μνημόνιο» έγινε</w:t>
      </w:r>
      <w:r w:rsidR="00E106FA">
        <w:rPr>
          <w:rFonts w:ascii="Bookman Old Style" w:hAnsi="Bookman Old Style"/>
          <w:sz w:val="24"/>
          <w:szCs w:val="24"/>
        </w:rPr>
        <w:t>, μεταξύ άλλων, και</w:t>
      </w:r>
      <w:r>
        <w:rPr>
          <w:rFonts w:ascii="Bookman Old Style" w:hAnsi="Bookman Old Style"/>
          <w:sz w:val="24"/>
          <w:szCs w:val="24"/>
        </w:rPr>
        <w:t xml:space="preserve"> κατά τρόπο, ο οποίος αγνοεί πλήρως Ελληνικά -και, επέκεινα, Ευρωπαϊκά- νησιά</w:t>
      </w:r>
      <w:r w:rsidR="006D122A" w:rsidRPr="006D122A">
        <w:rPr>
          <w:rFonts w:ascii="Bookman Old Style" w:hAnsi="Bookman Old Style"/>
          <w:sz w:val="24"/>
          <w:szCs w:val="24"/>
        </w:rPr>
        <w:t>,</w:t>
      </w:r>
      <w:r>
        <w:rPr>
          <w:rFonts w:ascii="Bookman Old Style" w:hAnsi="Bookman Old Style"/>
          <w:sz w:val="24"/>
          <w:szCs w:val="24"/>
        </w:rPr>
        <w:t xml:space="preserve"> όπως</w:t>
      </w:r>
      <w:r w:rsidR="006D122A" w:rsidRPr="006D122A">
        <w:rPr>
          <w:rFonts w:ascii="Bookman Old Style" w:hAnsi="Bookman Old Style"/>
          <w:sz w:val="24"/>
          <w:szCs w:val="24"/>
        </w:rPr>
        <w:t xml:space="preserve"> </w:t>
      </w:r>
      <w:r w:rsidR="006D122A">
        <w:rPr>
          <w:rFonts w:ascii="Bookman Old Style" w:hAnsi="Bookman Old Style"/>
          <w:sz w:val="24"/>
          <w:szCs w:val="24"/>
        </w:rPr>
        <w:t>το Καστελόριζο, η Κάρπαθος,</w:t>
      </w:r>
      <w:r>
        <w:rPr>
          <w:rFonts w:ascii="Bookman Old Style" w:hAnsi="Bookman Old Style"/>
          <w:sz w:val="24"/>
          <w:szCs w:val="24"/>
        </w:rPr>
        <w:t xml:space="preserve"> η Ρόδος</w:t>
      </w:r>
      <w:r w:rsidR="006D122A">
        <w:rPr>
          <w:rFonts w:ascii="Bookman Old Style" w:hAnsi="Bookman Old Style"/>
          <w:sz w:val="24"/>
          <w:szCs w:val="24"/>
        </w:rPr>
        <w:t xml:space="preserve"> και</w:t>
      </w:r>
      <w:r w:rsidR="006D122A" w:rsidRPr="006D122A">
        <w:rPr>
          <w:rFonts w:ascii="Bookman Old Style" w:hAnsi="Bookman Old Style"/>
          <w:sz w:val="24"/>
          <w:szCs w:val="24"/>
        </w:rPr>
        <w:t xml:space="preserve"> </w:t>
      </w:r>
      <w:r>
        <w:rPr>
          <w:rFonts w:ascii="Bookman Old Style" w:hAnsi="Bookman Old Style"/>
          <w:sz w:val="24"/>
          <w:szCs w:val="24"/>
        </w:rPr>
        <w:t>η Κρήτη, των οποίων</w:t>
      </w:r>
      <w:r w:rsidR="00E106FA">
        <w:rPr>
          <w:rFonts w:ascii="Bookman Old Style" w:hAnsi="Bookman Old Style"/>
          <w:sz w:val="24"/>
          <w:szCs w:val="24"/>
        </w:rPr>
        <w:t xml:space="preserve"> η</w:t>
      </w:r>
      <w:r>
        <w:rPr>
          <w:rFonts w:ascii="Bookman Old Style" w:hAnsi="Bookman Old Style"/>
          <w:sz w:val="24"/>
          <w:szCs w:val="24"/>
        </w:rPr>
        <w:t xml:space="preserve"> κατά την «Σύμβαση του </w:t>
      </w:r>
      <w:r>
        <w:rPr>
          <w:rFonts w:ascii="Bookman Old Style" w:hAnsi="Bookman Old Style"/>
          <w:sz w:val="24"/>
          <w:szCs w:val="24"/>
          <w:lang w:val="en-US"/>
        </w:rPr>
        <w:t>Montego</w:t>
      </w:r>
      <w:r w:rsidRPr="00FA38F9">
        <w:rPr>
          <w:rFonts w:ascii="Bookman Old Style" w:hAnsi="Bookman Old Style"/>
          <w:sz w:val="24"/>
          <w:szCs w:val="24"/>
        </w:rPr>
        <w:t xml:space="preserve"> </w:t>
      </w:r>
      <w:r>
        <w:rPr>
          <w:rFonts w:ascii="Bookman Old Style" w:hAnsi="Bookman Old Style"/>
          <w:sz w:val="24"/>
          <w:szCs w:val="24"/>
          <w:lang w:val="en-US"/>
        </w:rPr>
        <w:t>Bay</w:t>
      </w:r>
      <w:r>
        <w:rPr>
          <w:rFonts w:ascii="Bookman Old Style" w:hAnsi="Bookman Old Style"/>
          <w:sz w:val="24"/>
          <w:szCs w:val="24"/>
        </w:rPr>
        <w:t xml:space="preserve">» του 1982 επιρροή ως προς την οριοθέτηση της ΑΟΖ είναι αδιαμφισβήτητη.  Τούτο οφείλεται κυρίως στο ότι κατά την χάραξη της «μέσης γραμμής», σύμφωνα με την αρχή της «μέσης απόστασης» κατά την «Σύμβαση του </w:t>
      </w:r>
      <w:r>
        <w:rPr>
          <w:rFonts w:ascii="Bookman Old Style" w:hAnsi="Bookman Old Style"/>
          <w:sz w:val="24"/>
          <w:szCs w:val="24"/>
          <w:lang w:val="en-US"/>
        </w:rPr>
        <w:t>Montego</w:t>
      </w:r>
      <w:r w:rsidRPr="00FA38F9">
        <w:rPr>
          <w:rFonts w:ascii="Bookman Old Style" w:hAnsi="Bookman Old Style"/>
          <w:sz w:val="24"/>
          <w:szCs w:val="24"/>
        </w:rPr>
        <w:t xml:space="preserve"> </w:t>
      </w:r>
      <w:r>
        <w:rPr>
          <w:rFonts w:ascii="Bookman Old Style" w:hAnsi="Bookman Old Style"/>
          <w:sz w:val="24"/>
          <w:szCs w:val="24"/>
          <w:lang w:val="en-US"/>
        </w:rPr>
        <w:t>Bay</w:t>
      </w:r>
      <w:r>
        <w:rPr>
          <w:rFonts w:ascii="Bookman Old Style" w:hAnsi="Bookman Old Style"/>
          <w:sz w:val="24"/>
          <w:szCs w:val="24"/>
        </w:rPr>
        <w:t xml:space="preserve">» του 1982, ως αφετηρία χρησιμοποιήθηκαν αποκλειστικώς και μόνο το χερσαίο έδαφος καθώς και νησιά και βραχονησίδες της Τουρκίας.  Με άλλες λέξεις, Τουρκία και Λιβύη συμφώνησαν ότι μπορούν ν’ αξιοποιηθούν τουρκικά νησιά και τουρκικές βραχονησίδες για την οριοθέτηση της </w:t>
      </w:r>
      <w:r w:rsidR="00E106FA">
        <w:rPr>
          <w:rFonts w:ascii="Bookman Old Style" w:hAnsi="Bookman Old Style"/>
          <w:sz w:val="24"/>
          <w:szCs w:val="24"/>
        </w:rPr>
        <w:t xml:space="preserve">μεταξύ τους </w:t>
      </w:r>
      <w:r>
        <w:rPr>
          <w:rFonts w:ascii="Bookman Old Style" w:hAnsi="Bookman Old Style"/>
          <w:sz w:val="24"/>
          <w:szCs w:val="24"/>
        </w:rPr>
        <w:t>ΑΟΖ, όχι όμως</w:t>
      </w:r>
      <w:r w:rsidR="00E106FA">
        <w:rPr>
          <w:rFonts w:ascii="Bookman Old Style" w:hAnsi="Bookman Old Style"/>
          <w:sz w:val="24"/>
          <w:szCs w:val="24"/>
        </w:rPr>
        <w:t xml:space="preserve"> Ελληνικά</w:t>
      </w:r>
      <w:r>
        <w:rPr>
          <w:rFonts w:ascii="Bookman Old Style" w:hAnsi="Bookman Old Style"/>
          <w:sz w:val="24"/>
          <w:szCs w:val="24"/>
        </w:rPr>
        <w:t xml:space="preserve"> νησιά όπως </w:t>
      </w:r>
      <w:r w:rsidR="00CA1FD8">
        <w:rPr>
          <w:rFonts w:ascii="Bookman Old Style" w:hAnsi="Bookman Old Style"/>
          <w:sz w:val="24"/>
          <w:szCs w:val="24"/>
        </w:rPr>
        <w:t>τα προαναφερόμενα.</w:t>
      </w:r>
      <w:bookmarkStart w:id="0" w:name="_GoBack"/>
      <w:bookmarkEnd w:id="0"/>
    </w:p>
    <w:p w:rsidR="00FA38F9" w:rsidRDefault="00FA38F9" w:rsidP="00437265">
      <w:pPr>
        <w:pStyle w:val="a5"/>
        <w:spacing w:before="240" w:line="360" w:lineRule="auto"/>
        <w:ind w:left="1134" w:hanging="283"/>
        <w:contextualSpacing w:val="0"/>
        <w:jc w:val="both"/>
        <w:rPr>
          <w:rFonts w:ascii="Bookman Old Style" w:hAnsi="Bookman Old Style"/>
          <w:sz w:val="24"/>
          <w:szCs w:val="24"/>
        </w:rPr>
      </w:pPr>
      <w:r>
        <w:rPr>
          <w:rFonts w:ascii="Bookman Old Style" w:hAnsi="Bookman Old Style"/>
          <w:b/>
          <w:sz w:val="24"/>
          <w:szCs w:val="24"/>
        </w:rPr>
        <w:t xml:space="preserve">β) </w:t>
      </w:r>
      <w:r>
        <w:rPr>
          <w:rFonts w:ascii="Bookman Old Style" w:hAnsi="Bookman Old Style"/>
          <w:sz w:val="24"/>
          <w:szCs w:val="24"/>
        </w:rPr>
        <w:t>Υπό τ’ ανωτέρω δεδομένα η εκ μέρους του «</w:t>
      </w:r>
      <w:proofErr w:type="spellStart"/>
      <w:r>
        <w:rPr>
          <w:rFonts w:ascii="Bookman Old Style" w:hAnsi="Bookman Old Style"/>
          <w:sz w:val="24"/>
          <w:szCs w:val="24"/>
        </w:rPr>
        <w:t>τουρκολιβυκού</w:t>
      </w:r>
      <w:proofErr w:type="spellEnd"/>
      <w:r>
        <w:rPr>
          <w:rFonts w:ascii="Bookman Old Style" w:hAnsi="Bookman Old Style"/>
          <w:sz w:val="24"/>
          <w:szCs w:val="24"/>
        </w:rPr>
        <w:t xml:space="preserve"> μνημονίου» παραβίαση των διατάξεων της «Σύμβασης του </w:t>
      </w:r>
      <w:r>
        <w:rPr>
          <w:rFonts w:ascii="Bookman Old Style" w:hAnsi="Bookman Old Style"/>
          <w:sz w:val="24"/>
          <w:szCs w:val="24"/>
          <w:lang w:val="en-US"/>
        </w:rPr>
        <w:t>Montego</w:t>
      </w:r>
      <w:r w:rsidRPr="00FA38F9">
        <w:rPr>
          <w:rFonts w:ascii="Bookman Old Style" w:hAnsi="Bookman Old Style"/>
          <w:sz w:val="24"/>
          <w:szCs w:val="24"/>
        </w:rPr>
        <w:t xml:space="preserve"> </w:t>
      </w:r>
      <w:r>
        <w:rPr>
          <w:rFonts w:ascii="Bookman Old Style" w:hAnsi="Bookman Old Style"/>
          <w:sz w:val="24"/>
          <w:szCs w:val="24"/>
          <w:lang w:val="en-US"/>
        </w:rPr>
        <w:t>Bay</w:t>
      </w:r>
      <w:r>
        <w:rPr>
          <w:rFonts w:ascii="Bookman Old Style" w:hAnsi="Bookman Old Style"/>
          <w:sz w:val="24"/>
          <w:szCs w:val="24"/>
        </w:rPr>
        <w:t xml:space="preserve">» του 1982 είναι καταφανώς ευθεία και κατάφωρη, όπως ευθεία και κατάφωρη είναι και η περιθωριοποίηση της εν προκειμένω νομολογίας του Διεθνούς Δικαστηρίου της Χάγης, ακόμη και της εντελώς πρόσφατης.  Σε συνδυασμό δε με το κατά τα </w:t>
      </w:r>
      <w:proofErr w:type="spellStart"/>
      <w:r>
        <w:rPr>
          <w:rFonts w:ascii="Bookman Old Style" w:hAnsi="Bookman Old Style"/>
          <w:sz w:val="24"/>
          <w:szCs w:val="24"/>
        </w:rPr>
        <w:t>προλεχθέντα</w:t>
      </w:r>
      <w:proofErr w:type="spellEnd"/>
      <w:r>
        <w:rPr>
          <w:rFonts w:ascii="Bookman Old Style" w:hAnsi="Bookman Old Style"/>
          <w:sz w:val="24"/>
          <w:szCs w:val="24"/>
        </w:rPr>
        <w:t xml:space="preserve"> ανυπόστατο </w:t>
      </w:r>
      <w:r w:rsidR="000A376A">
        <w:rPr>
          <w:rFonts w:ascii="Bookman Old Style" w:hAnsi="Bookman Old Style"/>
          <w:sz w:val="24"/>
          <w:szCs w:val="24"/>
        </w:rPr>
        <w:t>της σύναψής του κατά το Διεθνές Δίκαιο εν γένει -στην συγκεκριμένη περίπτωση κατά την Σύμβαση της Βιέννης- το «</w:t>
      </w:r>
      <w:proofErr w:type="spellStart"/>
      <w:r w:rsidR="000A376A">
        <w:rPr>
          <w:rFonts w:ascii="Bookman Old Style" w:hAnsi="Bookman Old Style"/>
          <w:sz w:val="24"/>
          <w:szCs w:val="24"/>
        </w:rPr>
        <w:t>τουρκολιβυκό</w:t>
      </w:r>
      <w:proofErr w:type="spellEnd"/>
      <w:r w:rsidR="000A376A">
        <w:rPr>
          <w:rFonts w:ascii="Bookman Old Style" w:hAnsi="Bookman Old Style"/>
          <w:sz w:val="24"/>
          <w:szCs w:val="24"/>
        </w:rPr>
        <w:t xml:space="preserve"> μνημόνιο» είναι «δείγμα γραφής» μιας άνευ προηγουμένου αυθαιρεσίας εις βάρος όχι μόνο του Διεθνούς Δικαίου και της Διεθνούς </w:t>
      </w:r>
      <w:r w:rsidR="00E106FA">
        <w:rPr>
          <w:rFonts w:ascii="Bookman Old Style" w:hAnsi="Bookman Old Style"/>
          <w:sz w:val="24"/>
          <w:szCs w:val="24"/>
        </w:rPr>
        <w:t>Νομιμότητας</w:t>
      </w:r>
      <w:r w:rsidR="000A376A">
        <w:rPr>
          <w:rFonts w:ascii="Bookman Old Style" w:hAnsi="Bookman Old Style"/>
          <w:sz w:val="24"/>
          <w:szCs w:val="24"/>
        </w:rPr>
        <w:t xml:space="preserve">, αλλά και της Διεθνούς Κοινότητας εν γένει.  Και τούτο διότι αυθαιρεσίες αυτού του μεγέθους και αυτής της μορφής σε βάρος του Διεθνούς Δικαίου, θέτουν σε άμεσο κίνδυνο την εντός της Διεθνούς Κοινότητας ειρηνική συνύπαρξη των μελών της, στο μέτρο που καθίσταται, κατ’ αποτέλεσμα, αδύνατη η ειρηνική επίλυση των διαφορών σύμφωνα με τις </w:t>
      </w:r>
      <w:r w:rsidR="000A376A">
        <w:rPr>
          <w:rFonts w:ascii="Bookman Old Style" w:hAnsi="Bookman Old Style"/>
          <w:sz w:val="24"/>
          <w:szCs w:val="24"/>
        </w:rPr>
        <w:lastRenderedPageBreak/>
        <w:t xml:space="preserve">οικείες διατάξεις, οι οποίες συνθέτουν το πλέγμα της Διεθνούς Νομιμότητας. </w:t>
      </w:r>
    </w:p>
    <w:p w:rsidR="00472850" w:rsidRDefault="00472850" w:rsidP="00472850">
      <w:pPr>
        <w:pStyle w:val="a5"/>
        <w:spacing w:before="240" w:line="360" w:lineRule="auto"/>
        <w:ind w:left="851" w:hanging="284"/>
        <w:contextualSpacing w:val="0"/>
        <w:jc w:val="both"/>
        <w:rPr>
          <w:rFonts w:ascii="Bookman Old Style" w:hAnsi="Bookman Old Style"/>
          <w:b/>
          <w:sz w:val="24"/>
          <w:szCs w:val="24"/>
        </w:rPr>
      </w:pPr>
      <w:r w:rsidRPr="00472850">
        <w:rPr>
          <w:rFonts w:ascii="Bookman Old Style" w:hAnsi="Bookman Old Style"/>
          <w:b/>
          <w:sz w:val="24"/>
          <w:szCs w:val="24"/>
        </w:rPr>
        <w:t xml:space="preserve">2. </w:t>
      </w:r>
      <w:r>
        <w:rPr>
          <w:rFonts w:ascii="Bookman Old Style" w:hAnsi="Bookman Old Style"/>
          <w:b/>
          <w:sz w:val="24"/>
          <w:szCs w:val="24"/>
        </w:rPr>
        <w:t>Η εφαρμογή της αρχής «</w:t>
      </w:r>
      <w:r>
        <w:rPr>
          <w:rFonts w:ascii="Bookman Old Style" w:hAnsi="Bookman Old Style"/>
          <w:b/>
          <w:sz w:val="24"/>
          <w:szCs w:val="24"/>
          <w:lang w:val="en-US"/>
        </w:rPr>
        <w:t>res</w:t>
      </w:r>
      <w:r w:rsidRPr="00472850">
        <w:rPr>
          <w:rFonts w:ascii="Bookman Old Style" w:hAnsi="Bookman Old Style"/>
          <w:b/>
          <w:sz w:val="24"/>
          <w:szCs w:val="24"/>
        </w:rPr>
        <w:t xml:space="preserve"> </w:t>
      </w:r>
      <w:r>
        <w:rPr>
          <w:rFonts w:ascii="Bookman Old Style" w:hAnsi="Bookman Old Style"/>
          <w:b/>
          <w:sz w:val="24"/>
          <w:szCs w:val="24"/>
          <w:lang w:val="en-US"/>
        </w:rPr>
        <w:t>inter</w:t>
      </w:r>
      <w:r w:rsidRPr="00472850">
        <w:rPr>
          <w:rFonts w:ascii="Bookman Old Style" w:hAnsi="Bookman Old Style"/>
          <w:b/>
          <w:sz w:val="24"/>
          <w:szCs w:val="24"/>
        </w:rPr>
        <w:t xml:space="preserve"> </w:t>
      </w:r>
      <w:proofErr w:type="spellStart"/>
      <w:r>
        <w:rPr>
          <w:rFonts w:ascii="Bookman Old Style" w:hAnsi="Bookman Old Style"/>
          <w:b/>
          <w:sz w:val="24"/>
          <w:szCs w:val="24"/>
          <w:lang w:val="en-US"/>
        </w:rPr>
        <w:t>alios</w:t>
      </w:r>
      <w:proofErr w:type="spellEnd"/>
      <w:r w:rsidRPr="00472850">
        <w:rPr>
          <w:rFonts w:ascii="Bookman Old Style" w:hAnsi="Bookman Old Style"/>
          <w:b/>
          <w:sz w:val="24"/>
          <w:szCs w:val="24"/>
        </w:rPr>
        <w:t xml:space="preserve"> </w:t>
      </w:r>
      <w:r>
        <w:rPr>
          <w:rFonts w:ascii="Bookman Old Style" w:hAnsi="Bookman Old Style"/>
          <w:b/>
          <w:sz w:val="24"/>
          <w:szCs w:val="24"/>
          <w:lang w:val="en-US"/>
        </w:rPr>
        <w:t>acta</w:t>
      </w:r>
      <w:r>
        <w:rPr>
          <w:rFonts w:ascii="Bookman Old Style" w:hAnsi="Bookman Old Style"/>
          <w:b/>
          <w:sz w:val="24"/>
          <w:szCs w:val="24"/>
        </w:rPr>
        <w:t>» έναντι των αυθαίρετων ρυθμίσεων του «</w:t>
      </w:r>
      <w:proofErr w:type="spellStart"/>
      <w:r>
        <w:rPr>
          <w:rFonts w:ascii="Bookman Old Style" w:hAnsi="Bookman Old Style"/>
          <w:b/>
          <w:sz w:val="24"/>
          <w:szCs w:val="24"/>
        </w:rPr>
        <w:t>τουρκολιβυκού</w:t>
      </w:r>
      <w:proofErr w:type="spellEnd"/>
      <w:r>
        <w:rPr>
          <w:rFonts w:ascii="Bookman Old Style" w:hAnsi="Bookman Old Style"/>
          <w:b/>
          <w:sz w:val="24"/>
          <w:szCs w:val="24"/>
        </w:rPr>
        <w:t xml:space="preserve"> μνημονίου».</w:t>
      </w:r>
    </w:p>
    <w:p w:rsidR="00472850" w:rsidRDefault="00472850" w:rsidP="00472850">
      <w:pPr>
        <w:pStyle w:val="a5"/>
        <w:spacing w:before="240" w:line="360" w:lineRule="auto"/>
        <w:ind w:left="851" w:hanging="284"/>
        <w:contextualSpacing w:val="0"/>
        <w:jc w:val="both"/>
        <w:rPr>
          <w:rFonts w:ascii="Bookman Old Style" w:hAnsi="Bookman Old Style"/>
          <w:sz w:val="24"/>
          <w:szCs w:val="24"/>
        </w:rPr>
      </w:pPr>
      <w:r>
        <w:rPr>
          <w:rFonts w:ascii="Bookman Old Style" w:hAnsi="Bookman Old Style"/>
          <w:b/>
          <w:sz w:val="24"/>
          <w:szCs w:val="24"/>
        </w:rPr>
        <w:tab/>
      </w:r>
      <w:r>
        <w:rPr>
          <w:rFonts w:ascii="Bookman Old Style" w:hAnsi="Bookman Old Style"/>
          <w:sz w:val="24"/>
          <w:szCs w:val="24"/>
        </w:rPr>
        <w:t xml:space="preserve">Υπενθυμίζεται, για </w:t>
      </w:r>
      <w:proofErr w:type="spellStart"/>
      <w:r>
        <w:rPr>
          <w:rFonts w:ascii="Bookman Old Style" w:hAnsi="Bookman Old Style"/>
          <w:sz w:val="24"/>
          <w:szCs w:val="24"/>
        </w:rPr>
        <w:t>μιάν</w:t>
      </w:r>
      <w:proofErr w:type="spellEnd"/>
      <w:r>
        <w:rPr>
          <w:rFonts w:ascii="Bookman Old Style" w:hAnsi="Bookman Old Style"/>
          <w:sz w:val="24"/>
          <w:szCs w:val="24"/>
        </w:rPr>
        <w:t xml:space="preserve"> ακόμη φορά, ότι το «</w:t>
      </w:r>
      <w:proofErr w:type="spellStart"/>
      <w:r>
        <w:rPr>
          <w:rFonts w:ascii="Bookman Old Style" w:hAnsi="Bookman Old Style"/>
          <w:sz w:val="24"/>
          <w:szCs w:val="24"/>
        </w:rPr>
        <w:t>τουρκολιβυκό</w:t>
      </w:r>
      <w:proofErr w:type="spellEnd"/>
      <w:r>
        <w:rPr>
          <w:rFonts w:ascii="Bookman Old Style" w:hAnsi="Bookman Old Style"/>
          <w:sz w:val="24"/>
          <w:szCs w:val="24"/>
        </w:rPr>
        <w:t xml:space="preserve"> μνημόνιο», σύμφωνα με την κατά την νομολογία του Διεθνούς Δικαστηρίου της Χάγης αρχή «</w:t>
      </w:r>
      <w:r>
        <w:rPr>
          <w:rFonts w:ascii="Bookman Old Style" w:hAnsi="Bookman Old Style"/>
          <w:sz w:val="24"/>
          <w:szCs w:val="24"/>
          <w:lang w:val="en-US"/>
        </w:rPr>
        <w:t>res</w:t>
      </w:r>
      <w:r w:rsidRPr="00472850">
        <w:rPr>
          <w:rFonts w:ascii="Bookman Old Style" w:hAnsi="Bookman Old Style"/>
          <w:sz w:val="24"/>
          <w:szCs w:val="24"/>
        </w:rPr>
        <w:t xml:space="preserve"> </w:t>
      </w:r>
      <w:r>
        <w:rPr>
          <w:rFonts w:ascii="Bookman Old Style" w:hAnsi="Bookman Old Style"/>
          <w:sz w:val="24"/>
          <w:szCs w:val="24"/>
          <w:lang w:val="en-US"/>
        </w:rPr>
        <w:t>inter</w:t>
      </w:r>
      <w:r w:rsidRPr="00472850">
        <w:rPr>
          <w:rFonts w:ascii="Bookman Old Style" w:hAnsi="Bookman Old Style"/>
          <w:sz w:val="24"/>
          <w:szCs w:val="24"/>
        </w:rPr>
        <w:t xml:space="preserve"> </w:t>
      </w:r>
      <w:proofErr w:type="spellStart"/>
      <w:r>
        <w:rPr>
          <w:rFonts w:ascii="Bookman Old Style" w:hAnsi="Bookman Old Style"/>
          <w:sz w:val="24"/>
          <w:szCs w:val="24"/>
          <w:lang w:val="en-US"/>
        </w:rPr>
        <w:t>alios</w:t>
      </w:r>
      <w:proofErr w:type="spellEnd"/>
      <w:r w:rsidRPr="00472850">
        <w:rPr>
          <w:rFonts w:ascii="Bookman Old Style" w:hAnsi="Bookman Old Style"/>
          <w:sz w:val="24"/>
          <w:szCs w:val="24"/>
        </w:rPr>
        <w:t xml:space="preserve"> </w:t>
      </w:r>
      <w:r>
        <w:rPr>
          <w:rFonts w:ascii="Bookman Old Style" w:hAnsi="Bookman Old Style"/>
          <w:sz w:val="24"/>
          <w:szCs w:val="24"/>
          <w:lang w:val="en-US"/>
        </w:rPr>
        <w:t>acta</w:t>
      </w:r>
      <w:r>
        <w:rPr>
          <w:rFonts w:ascii="Bookman Old Style" w:hAnsi="Bookman Old Style"/>
          <w:sz w:val="24"/>
          <w:szCs w:val="24"/>
        </w:rPr>
        <w:t>»</w:t>
      </w:r>
      <w:r w:rsidR="00102F49">
        <w:rPr>
          <w:rFonts w:ascii="Bookman Old Style" w:hAnsi="Bookman Old Style"/>
          <w:sz w:val="24"/>
          <w:szCs w:val="24"/>
        </w:rPr>
        <w:t>, πέραν τ</w:t>
      </w:r>
      <w:r w:rsidR="00EC1758">
        <w:rPr>
          <w:rFonts w:ascii="Bookman Old Style" w:hAnsi="Bookman Old Style"/>
          <w:sz w:val="24"/>
          <w:szCs w:val="24"/>
        </w:rPr>
        <w:t>ων</w:t>
      </w:r>
      <w:r w:rsidR="00102F49">
        <w:rPr>
          <w:rFonts w:ascii="Bookman Old Style" w:hAnsi="Bookman Old Style"/>
          <w:sz w:val="24"/>
          <w:szCs w:val="24"/>
        </w:rPr>
        <w:t xml:space="preserve"> ως άνω βαρύτατ</w:t>
      </w:r>
      <w:r w:rsidR="00FE4E56">
        <w:rPr>
          <w:rFonts w:ascii="Bookman Old Style" w:hAnsi="Bookman Old Style"/>
          <w:sz w:val="24"/>
          <w:szCs w:val="24"/>
        </w:rPr>
        <w:t>ων</w:t>
      </w:r>
      <w:r w:rsidR="00102F49">
        <w:rPr>
          <w:rFonts w:ascii="Bookman Old Style" w:hAnsi="Bookman Old Style"/>
          <w:sz w:val="24"/>
          <w:szCs w:val="24"/>
        </w:rPr>
        <w:t xml:space="preserve"> νομικών του πλημμελ</w:t>
      </w:r>
      <w:r w:rsidR="00FE4E56">
        <w:rPr>
          <w:rFonts w:ascii="Bookman Old Style" w:hAnsi="Bookman Old Style"/>
          <w:sz w:val="24"/>
          <w:szCs w:val="24"/>
        </w:rPr>
        <w:t>ειών</w:t>
      </w:r>
      <w:r w:rsidR="00102F49">
        <w:rPr>
          <w:rFonts w:ascii="Bookman Old Style" w:hAnsi="Bookman Old Style"/>
          <w:sz w:val="24"/>
          <w:szCs w:val="24"/>
        </w:rPr>
        <w:t xml:space="preserve"> ούτως ή άλλως δεν δεσμεύει τρίτα μέρη, όπως π.χ. εν προκειμένω</w:t>
      </w:r>
      <w:r w:rsidR="00FE4E56">
        <w:rPr>
          <w:rFonts w:ascii="Bookman Old Style" w:hAnsi="Bookman Old Style"/>
          <w:sz w:val="24"/>
          <w:szCs w:val="24"/>
        </w:rPr>
        <w:t xml:space="preserve"> την</w:t>
      </w:r>
      <w:r w:rsidR="00102F49">
        <w:rPr>
          <w:rFonts w:ascii="Bookman Old Style" w:hAnsi="Bookman Old Style"/>
          <w:sz w:val="24"/>
          <w:szCs w:val="24"/>
        </w:rPr>
        <w:t xml:space="preserve"> Ελλάδα και </w:t>
      </w:r>
      <w:r w:rsidR="00FE4E56">
        <w:rPr>
          <w:rFonts w:ascii="Bookman Old Style" w:hAnsi="Bookman Old Style"/>
          <w:sz w:val="24"/>
          <w:szCs w:val="24"/>
        </w:rPr>
        <w:t xml:space="preserve">την </w:t>
      </w:r>
      <w:r w:rsidR="00102F49">
        <w:rPr>
          <w:rFonts w:ascii="Bookman Old Style" w:hAnsi="Bookman Old Style"/>
          <w:sz w:val="24"/>
          <w:szCs w:val="24"/>
        </w:rPr>
        <w:t>Ευρωπαϊκή Ένωση.  Όπως επίσης υπενθυμίζεται, εκ νέου, ότι τούτο δεν σημαίνει, κατ’ ουδένα τρόπο, ότι Ελλάδα και Ευρωπαϊκή Ένωση, εφόσον δι</w:t>
      </w:r>
      <w:r w:rsidR="00C90B8B">
        <w:rPr>
          <w:rFonts w:ascii="Bookman Old Style" w:hAnsi="Bookman Old Style"/>
          <w:sz w:val="24"/>
          <w:szCs w:val="24"/>
        </w:rPr>
        <w:t xml:space="preserve">καιολογούν </w:t>
      </w:r>
      <w:r w:rsidR="00102F49">
        <w:rPr>
          <w:rFonts w:ascii="Bookman Old Style" w:hAnsi="Bookman Old Style"/>
          <w:sz w:val="24"/>
          <w:szCs w:val="24"/>
        </w:rPr>
        <w:t>έννομο συμφέρον -κάτι εντελώς αυτονόητο στην συγκεκριμένη περίπτωση, αφού το «</w:t>
      </w:r>
      <w:proofErr w:type="spellStart"/>
      <w:r w:rsidR="00102F49">
        <w:rPr>
          <w:rFonts w:ascii="Bookman Old Style" w:hAnsi="Bookman Old Style"/>
          <w:sz w:val="24"/>
          <w:szCs w:val="24"/>
        </w:rPr>
        <w:t>τουρκολιβυκό</w:t>
      </w:r>
      <w:proofErr w:type="spellEnd"/>
      <w:r w:rsidR="00102F49">
        <w:rPr>
          <w:rFonts w:ascii="Bookman Old Style" w:hAnsi="Bookman Old Style"/>
          <w:sz w:val="24"/>
          <w:szCs w:val="24"/>
        </w:rPr>
        <w:t xml:space="preserve"> μνημόνιο» επιχειρεί να πλήξει την ΑΟΖ που τους </w:t>
      </w:r>
      <w:r w:rsidR="00FE4E56">
        <w:rPr>
          <w:rFonts w:ascii="Bookman Old Style" w:hAnsi="Bookman Old Style"/>
          <w:sz w:val="24"/>
          <w:szCs w:val="24"/>
        </w:rPr>
        <w:t>αναλογεί</w:t>
      </w:r>
      <w:r w:rsidR="00102F49">
        <w:rPr>
          <w:rFonts w:ascii="Bookman Old Style" w:hAnsi="Bookman Old Style"/>
          <w:sz w:val="24"/>
          <w:szCs w:val="24"/>
        </w:rPr>
        <w:t xml:space="preserve"> κατά το Διεθνές Δίκαιο- δεν μπορούν να </w:t>
      </w:r>
      <w:proofErr w:type="spellStart"/>
      <w:r w:rsidR="00885A2F">
        <w:rPr>
          <w:rFonts w:ascii="Bookman Old Style" w:hAnsi="Bookman Old Style"/>
          <w:sz w:val="24"/>
          <w:szCs w:val="24"/>
        </w:rPr>
        <w:t>επικαλε</w:t>
      </w:r>
      <w:r w:rsidR="00C90B8B">
        <w:rPr>
          <w:rFonts w:ascii="Bookman Old Style" w:hAnsi="Bookman Old Style"/>
          <w:sz w:val="24"/>
          <w:szCs w:val="24"/>
        </w:rPr>
        <w:t>σθούν</w:t>
      </w:r>
      <w:proofErr w:type="spellEnd"/>
      <w:r w:rsidR="00C90B8B">
        <w:rPr>
          <w:rFonts w:ascii="Bookman Old Style" w:hAnsi="Bookman Old Style"/>
          <w:sz w:val="24"/>
          <w:szCs w:val="24"/>
        </w:rPr>
        <w:t xml:space="preserve">, ενώπιον του κατά περίπτωση αρμόδιου Διεθνούς </w:t>
      </w:r>
      <w:r w:rsidR="00C90B8B">
        <w:rPr>
          <w:rFonts w:ascii="Bookman Old Style" w:hAnsi="Bookman Old Style"/>
          <w:sz w:val="24"/>
          <w:szCs w:val="24"/>
          <w:lang w:val="en-US"/>
        </w:rPr>
        <w:t>Forum</w:t>
      </w:r>
      <w:r w:rsidR="00C90B8B">
        <w:rPr>
          <w:rFonts w:ascii="Bookman Old Style" w:hAnsi="Bookman Old Style"/>
          <w:sz w:val="24"/>
          <w:szCs w:val="24"/>
        </w:rPr>
        <w:t xml:space="preserve">, το ανυπόστατο ή και την ακυρότητα του «μνημονίου» </w:t>
      </w:r>
      <w:r w:rsidR="00F911DF">
        <w:rPr>
          <w:rFonts w:ascii="Bookman Old Style" w:hAnsi="Bookman Old Style"/>
          <w:sz w:val="24"/>
          <w:szCs w:val="24"/>
        </w:rPr>
        <w:t>τ</w:t>
      </w:r>
      <w:r w:rsidR="00C90B8B">
        <w:rPr>
          <w:rFonts w:ascii="Bookman Old Style" w:hAnsi="Bookman Old Style"/>
          <w:sz w:val="24"/>
          <w:szCs w:val="24"/>
        </w:rPr>
        <w:t xml:space="preserve">ούτου. </w:t>
      </w:r>
    </w:p>
    <w:p w:rsidR="00C90B8B" w:rsidRDefault="00C90B8B" w:rsidP="00C90B8B">
      <w:pPr>
        <w:pStyle w:val="a5"/>
        <w:spacing w:before="240" w:line="360" w:lineRule="auto"/>
        <w:ind w:left="1134" w:hanging="283"/>
        <w:contextualSpacing w:val="0"/>
        <w:jc w:val="both"/>
        <w:rPr>
          <w:rFonts w:ascii="Bookman Old Style" w:hAnsi="Bookman Old Style"/>
          <w:i/>
          <w:sz w:val="24"/>
          <w:szCs w:val="24"/>
        </w:rPr>
      </w:pPr>
      <w:r>
        <w:rPr>
          <w:rFonts w:ascii="Bookman Old Style" w:hAnsi="Bookman Old Style"/>
          <w:b/>
          <w:sz w:val="24"/>
          <w:szCs w:val="24"/>
        </w:rPr>
        <w:t xml:space="preserve">α) </w:t>
      </w:r>
      <w:r>
        <w:rPr>
          <w:rFonts w:ascii="Bookman Old Style" w:hAnsi="Bookman Old Style"/>
          <w:sz w:val="24"/>
          <w:szCs w:val="24"/>
        </w:rPr>
        <w:t>Η ακρί</w:t>
      </w:r>
      <w:r w:rsidR="00F911DF">
        <w:rPr>
          <w:rFonts w:ascii="Bookman Old Style" w:hAnsi="Bookman Old Style"/>
          <w:sz w:val="24"/>
          <w:szCs w:val="24"/>
        </w:rPr>
        <w:t>β</w:t>
      </w:r>
      <w:r>
        <w:rPr>
          <w:rFonts w:ascii="Bookman Old Style" w:hAnsi="Bookman Old Style"/>
          <w:sz w:val="24"/>
          <w:szCs w:val="24"/>
        </w:rPr>
        <w:t xml:space="preserve">εια του προαναφερόμενου επιχειρήματος ως προς την εφαρμογή της αρχής </w:t>
      </w:r>
      <w:r w:rsidR="00FE4E56">
        <w:rPr>
          <w:rFonts w:ascii="Bookman Old Style" w:hAnsi="Bookman Old Style"/>
          <w:sz w:val="24"/>
          <w:szCs w:val="24"/>
        </w:rPr>
        <w:t>«</w:t>
      </w:r>
      <w:r>
        <w:rPr>
          <w:rFonts w:ascii="Bookman Old Style" w:hAnsi="Bookman Old Style"/>
          <w:sz w:val="24"/>
          <w:szCs w:val="24"/>
          <w:lang w:val="en-US"/>
        </w:rPr>
        <w:t>res</w:t>
      </w:r>
      <w:r w:rsidRPr="00C90B8B">
        <w:rPr>
          <w:rFonts w:ascii="Bookman Old Style" w:hAnsi="Bookman Old Style"/>
          <w:sz w:val="24"/>
          <w:szCs w:val="24"/>
        </w:rPr>
        <w:t xml:space="preserve"> </w:t>
      </w:r>
      <w:r>
        <w:rPr>
          <w:rFonts w:ascii="Bookman Old Style" w:hAnsi="Bookman Old Style"/>
          <w:sz w:val="24"/>
          <w:szCs w:val="24"/>
          <w:lang w:val="en-US"/>
        </w:rPr>
        <w:t>inter</w:t>
      </w:r>
      <w:r w:rsidRPr="00C90B8B">
        <w:rPr>
          <w:rFonts w:ascii="Bookman Old Style" w:hAnsi="Bookman Old Style"/>
          <w:sz w:val="24"/>
          <w:szCs w:val="24"/>
        </w:rPr>
        <w:t xml:space="preserve"> </w:t>
      </w:r>
      <w:proofErr w:type="spellStart"/>
      <w:r>
        <w:rPr>
          <w:rFonts w:ascii="Bookman Old Style" w:hAnsi="Bookman Old Style"/>
          <w:sz w:val="24"/>
          <w:szCs w:val="24"/>
          <w:lang w:val="en-US"/>
        </w:rPr>
        <w:t>alios</w:t>
      </w:r>
      <w:proofErr w:type="spellEnd"/>
      <w:r w:rsidRPr="00C90B8B">
        <w:rPr>
          <w:rFonts w:ascii="Bookman Old Style" w:hAnsi="Bookman Old Style"/>
          <w:sz w:val="24"/>
          <w:szCs w:val="24"/>
        </w:rPr>
        <w:t xml:space="preserve"> </w:t>
      </w:r>
      <w:r>
        <w:rPr>
          <w:rFonts w:ascii="Bookman Old Style" w:hAnsi="Bookman Old Style"/>
          <w:sz w:val="24"/>
          <w:szCs w:val="24"/>
          <w:lang w:val="en-US"/>
        </w:rPr>
        <w:t>acta</w:t>
      </w:r>
      <w:r w:rsidR="00FE4E56">
        <w:rPr>
          <w:rFonts w:ascii="Bookman Old Style" w:hAnsi="Bookman Old Style"/>
          <w:sz w:val="24"/>
          <w:szCs w:val="24"/>
        </w:rPr>
        <w:t>»</w:t>
      </w:r>
      <w:r w:rsidRPr="00C90B8B">
        <w:rPr>
          <w:rFonts w:ascii="Bookman Old Style" w:hAnsi="Bookman Old Style"/>
          <w:sz w:val="24"/>
          <w:szCs w:val="24"/>
        </w:rPr>
        <w:t xml:space="preserve"> </w:t>
      </w:r>
      <w:r>
        <w:rPr>
          <w:rFonts w:ascii="Bookman Old Style" w:hAnsi="Bookman Old Style"/>
          <w:sz w:val="24"/>
          <w:szCs w:val="24"/>
        </w:rPr>
        <w:t xml:space="preserve">προκύπτει, όσον αφορά την Ελλάδα, </w:t>
      </w:r>
      <w:r w:rsidR="00FE4E56">
        <w:rPr>
          <w:rFonts w:ascii="Bookman Old Style" w:hAnsi="Bookman Old Style"/>
          <w:sz w:val="24"/>
          <w:szCs w:val="24"/>
        </w:rPr>
        <w:t xml:space="preserve">και </w:t>
      </w:r>
      <w:r>
        <w:rPr>
          <w:rFonts w:ascii="Bookman Old Style" w:hAnsi="Bookman Old Style"/>
          <w:sz w:val="24"/>
          <w:szCs w:val="24"/>
        </w:rPr>
        <w:t xml:space="preserve">από την </w:t>
      </w:r>
      <w:r>
        <w:rPr>
          <w:rFonts w:ascii="Bookman Old Style" w:hAnsi="Bookman Old Style"/>
          <w:sz w:val="24"/>
          <w:szCs w:val="24"/>
          <w:lang w:val="en-US"/>
        </w:rPr>
        <w:t>ad</w:t>
      </w:r>
      <w:r w:rsidRPr="00C90B8B">
        <w:rPr>
          <w:rFonts w:ascii="Bookman Old Style" w:hAnsi="Bookman Old Style"/>
          <w:sz w:val="24"/>
          <w:szCs w:val="24"/>
        </w:rPr>
        <w:t xml:space="preserve"> </w:t>
      </w:r>
      <w:r>
        <w:rPr>
          <w:rFonts w:ascii="Bookman Old Style" w:hAnsi="Bookman Old Style"/>
          <w:sz w:val="24"/>
          <w:szCs w:val="24"/>
          <w:lang w:val="en-US"/>
        </w:rPr>
        <w:t>hoc</w:t>
      </w:r>
      <w:r w:rsidRPr="00C90B8B">
        <w:rPr>
          <w:rFonts w:ascii="Bookman Old Style" w:hAnsi="Bookman Old Style"/>
          <w:sz w:val="24"/>
          <w:szCs w:val="24"/>
        </w:rPr>
        <w:t xml:space="preserve"> </w:t>
      </w:r>
      <w:r>
        <w:rPr>
          <w:rFonts w:ascii="Bookman Old Style" w:hAnsi="Bookman Old Style"/>
          <w:sz w:val="24"/>
          <w:szCs w:val="24"/>
        </w:rPr>
        <w:t xml:space="preserve"> απόφαση -για την ακρίβεια «Διά</w:t>
      </w:r>
      <w:r w:rsidR="00F911DF">
        <w:rPr>
          <w:rFonts w:ascii="Bookman Old Style" w:hAnsi="Bookman Old Style"/>
          <w:sz w:val="24"/>
          <w:szCs w:val="24"/>
        </w:rPr>
        <w:t>τ</w:t>
      </w:r>
      <w:r>
        <w:rPr>
          <w:rFonts w:ascii="Bookman Old Style" w:hAnsi="Bookman Old Style"/>
          <w:sz w:val="24"/>
          <w:szCs w:val="24"/>
        </w:rPr>
        <w:t>αξη» («</w:t>
      </w:r>
      <w:r>
        <w:rPr>
          <w:rFonts w:ascii="Bookman Old Style" w:hAnsi="Bookman Old Style"/>
          <w:sz w:val="24"/>
          <w:szCs w:val="24"/>
          <w:lang w:val="en-US"/>
        </w:rPr>
        <w:t>Ordonnance</w:t>
      </w:r>
      <w:r>
        <w:rPr>
          <w:rFonts w:ascii="Bookman Old Style" w:hAnsi="Bookman Old Style"/>
          <w:sz w:val="24"/>
          <w:szCs w:val="24"/>
        </w:rPr>
        <w:t>»)- της 11</w:t>
      </w:r>
      <w:r w:rsidRPr="00C90B8B">
        <w:rPr>
          <w:rFonts w:ascii="Bookman Old Style" w:hAnsi="Bookman Old Style"/>
          <w:sz w:val="24"/>
          <w:szCs w:val="24"/>
          <w:vertAlign w:val="superscript"/>
        </w:rPr>
        <w:t>ης</w:t>
      </w:r>
      <w:r>
        <w:rPr>
          <w:rFonts w:ascii="Bookman Old Style" w:hAnsi="Bookman Old Style"/>
          <w:sz w:val="24"/>
          <w:szCs w:val="24"/>
        </w:rPr>
        <w:t xml:space="preserve"> Σεπτεμβρίου 1976 του Διεθνούς Δικαστηρίου της Χάγης.  Η </w:t>
      </w:r>
      <w:r w:rsidR="00FE4E56">
        <w:rPr>
          <w:rFonts w:ascii="Bookman Old Style" w:hAnsi="Bookman Old Style"/>
          <w:sz w:val="24"/>
          <w:szCs w:val="24"/>
        </w:rPr>
        <w:t>Διάταξη</w:t>
      </w:r>
      <w:r>
        <w:rPr>
          <w:rFonts w:ascii="Bookman Old Style" w:hAnsi="Bookman Old Style"/>
          <w:sz w:val="24"/>
          <w:szCs w:val="24"/>
        </w:rPr>
        <w:t xml:space="preserve"> αυτή εκδόθηκε στην βάση της διαφοράς αναφορικά με την οριοθέτηση υφαλοκρ</w:t>
      </w:r>
      <w:r w:rsidR="00F911DF">
        <w:rPr>
          <w:rFonts w:ascii="Bookman Old Style" w:hAnsi="Bookman Old Style"/>
          <w:sz w:val="24"/>
          <w:szCs w:val="24"/>
        </w:rPr>
        <w:t>η</w:t>
      </w:r>
      <w:r>
        <w:rPr>
          <w:rFonts w:ascii="Bookman Old Style" w:hAnsi="Bookman Old Style"/>
          <w:sz w:val="24"/>
          <w:szCs w:val="24"/>
        </w:rPr>
        <w:t>πίδας μεταξύ Ελλάδας και Τουρκίας.  Άκρως χαρακτηριστικό και αντιπροσωπευτικό</w:t>
      </w:r>
      <w:r w:rsidR="00FE4E56">
        <w:rPr>
          <w:rFonts w:ascii="Bookman Old Style" w:hAnsi="Bookman Old Style"/>
          <w:sz w:val="24"/>
          <w:szCs w:val="24"/>
        </w:rPr>
        <w:t>,</w:t>
      </w:r>
      <w:r>
        <w:rPr>
          <w:rFonts w:ascii="Bookman Old Style" w:hAnsi="Bookman Old Style"/>
          <w:sz w:val="24"/>
          <w:szCs w:val="24"/>
        </w:rPr>
        <w:t xml:space="preserve"> στην συγκεκριμένη περίπτωση</w:t>
      </w:r>
      <w:r w:rsidR="00FE4E56">
        <w:rPr>
          <w:rFonts w:ascii="Bookman Old Style" w:hAnsi="Bookman Old Style"/>
          <w:sz w:val="24"/>
          <w:szCs w:val="24"/>
        </w:rPr>
        <w:t>,</w:t>
      </w:r>
      <w:r>
        <w:rPr>
          <w:rFonts w:ascii="Bookman Old Style" w:hAnsi="Bookman Old Style"/>
          <w:sz w:val="24"/>
          <w:szCs w:val="24"/>
        </w:rPr>
        <w:t xml:space="preserve"> είναι το ακόλουθο σκεπτικό </w:t>
      </w:r>
      <w:proofErr w:type="spellStart"/>
      <w:r>
        <w:rPr>
          <w:rFonts w:ascii="Bookman Old Style" w:hAnsi="Bookman Old Style"/>
          <w:sz w:val="24"/>
          <w:szCs w:val="24"/>
        </w:rPr>
        <w:t>αρ</w:t>
      </w:r>
      <w:proofErr w:type="spellEnd"/>
      <w:r>
        <w:rPr>
          <w:rFonts w:ascii="Bookman Old Style" w:hAnsi="Bookman Old Style"/>
          <w:sz w:val="24"/>
          <w:szCs w:val="24"/>
        </w:rPr>
        <w:t>. 29 της κατά τ’ ανωτέρω Διάταξης (</w:t>
      </w:r>
      <w:r>
        <w:rPr>
          <w:rFonts w:ascii="Bookman Old Style" w:hAnsi="Bookman Old Style"/>
          <w:sz w:val="24"/>
          <w:szCs w:val="24"/>
          <w:lang w:val="en-US"/>
        </w:rPr>
        <w:t>Ordonnance</w:t>
      </w:r>
      <w:r>
        <w:rPr>
          <w:rFonts w:ascii="Bookman Old Style" w:hAnsi="Bookman Old Style"/>
          <w:sz w:val="24"/>
          <w:szCs w:val="24"/>
        </w:rPr>
        <w:t xml:space="preserve">) </w:t>
      </w:r>
      <w:r w:rsidR="00F911DF">
        <w:rPr>
          <w:rFonts w:ascii="Bookman Old Style" w:hAnsi="Bookman Old Style"/>
          <w:sz w:val="24"/>
          <w:szCs w:val="24"/>
        </w:rPr>
        <w:t xml:space="preserve"> του Διεθνούς Δικαστηρίου της Χάγης: «</w:t>
      </w:r>
      <w:r w:rsidR="00F911DF">
        <w:rPr>
          <w:rFonts w:ascii="Bookman Old Style" w:hAnsi="Bookman Old Style"/>
          <w:i/>
          <w:sz w:val="24"/>
          <w:szCs w:val="24"/>
        </w:rPr>
        <w:t>Είναι προφανές ότι μονομερείς παραχωρήσεις από ένα Κράτος ή έρευν</w:t>
      </w:r>
      <w:r w:rsidR="00FE4E56">
        <w:rPr>
          <w:rFonts w:ascii="Bookman Old Style" w:hAnsi="Bookman Old Style"/>
          <w:i/>
          <w:sz w:val="24"/>
          <w:szCs w:val="24"/>
        </w:rPr>
        <w:t>ε</w:t>
      </w:r>
      <w:r w:rsidR="00F911DF">
        <w:rPr>
          <w:rFonts w:ascii="Bookman Old Style" w:hAnsi="Bookman Old Style"/>
          <w:i/>
          <w:sz w:val="24"/>
          <w:szCs w:val="24"/>
        </w:rPr>
        <w:t>ς που γίν</w:t>
      </w:r>
      <w:r w:rsidR="00207CAA">
        <w:rPr>
          <w:rFonts w:ascii="Bookman Old Style" w:hAnsi="Bookman Old Style"/>
          <w:i/>
          <w:sz w:val="24"/>
          <w:szCs w:val="24"/>
        </w:rPr>
        <w:t>ον</w:t>
      </w:r>
      <w:r w:rsidR="00F911DF">
        <w:rPr>
          <w:rFonts w:ascii="Bookman Old Style" w:hAnsi="Bookman Old Style"/>
          <w:i/>
          <w:sz w:val="24"/>
          <w:szCs w:val="24"/>
        </w:rPr>
        <w:t xml:space="preserve">ται μονομερώς από το Κράτος αυτό σε αμφισβητούμενες περιοχές, δεν δημιουργούν κανένα νέο </w:t>
      </w:r>
      <w:r w:rsidR="00F911DF">
        <w:rPr>
          <w:rFonts w:ascii="Bookman Old Style" w:hAnsi="Bookman Old Style"/>
          <w:i/>
          <w:sz w:val="24"/>
          <w:szCs w:val="24"/>
        </w:rPr>
        <w:lastRenderedPageBreak/>
        <w:t xml:space="preserve">δικαίωμα υπέρ αυτού ούτε στερούν το άλλο Κράτος από τα κατά το Διεθνές Δίκαιο δικαιώματά του». </w:t>
      </w:r>
    </w:p>
    <w:p w:rsidR="00F911DF" w:rsidRDefault="00F911DF" w:rsidP="00C90B8B">
      <w:pPr>
        <w:pStyle w:val="a5"/>
        <w:spacing w:before="240" w:line="360" w:lineRule="auto"/>
        <w:ind w:left="1134" w:hanging="283"/>
        <w:contextualSpacing w:val="0"/>
        <w:jc w:val="both"/>
        <w:rPr>
          <w:rFonts w:ascii="Bookman Old Style" w:hAnsi="Bookman Old Style"/>
          <w:sz w:val="24"/>
          <w:szCs w:val="24"/>
        </w:rPr>
      </w:pPr>
      <w:r>
        <w:rPr>
          <w:rFonts w:ascii="Bookman Old Style" w:hAnsi="Bookman Old Style"/>
          <w:b/>
          <w:sz w:val="24"/>
          <w:szCs w:val="24"/>
        </w:rPr>
        <w:t xml:space="preserve">β) </w:t>
      </w:r>
      <w:r>
        <w:rPr>
          <w:rFonts w:ascii="Bookman Old Style" w:hAnsi="Bookman Old Style"/>
          <w:sz w:val="24"/>
          <w:szCs w:val="24"/>
        </w:rPr>
        <w:t xml:space="preserve">Για </w:t>
      </w:r>
      <w:r w:rsidR="00FE4E56">
        <w:rPr>
          <w:rFonts w:ascii="Bookman Old Style" w:hAnsi="Bookman Old Style"/>
          <w:sz w:val="24"/>
          <w:szCs w:val="24"/>
        </w:rPr>
        <w:t xml:space="preserve">μια πιο </w:t>
      </w:r>
      <w:r>
        <w:rPr>
          <w:rFonts w:ascii="Bookman Old Style" w:hAnsi="Bookman Old Style"/>
          <w:sz w:val="24"/>
          <w:szCs w:val="24"/>
        </w:rPr>
        <w:t xml:space="preserve">ολοκληρωμένη παρουσίαση </w:t>
      </w:r>
      <w:r w:rsidR="00207CAA">
        <w:rPr>
          <w:rFonts w:ascii="Bookman Old Style" w:hAnsi="Bookman Old Style"/>
          <w:sz w:val="24"/>
          <w:szCs w:val="24"/>
        </w:rPr>
        <w:t xml:space="preserve">της </w:t>
      </w:r>
      <w:r w:rsidR="00FE4E56">
        <w:rPr>
          <w:rFonts w:ascii="Bookman Old Style" w:hAnsi="Bookman Old Style"/>
          <w:sz w:val="24"/>
          <w:szCs w:val="24"/>
        </w:rPr>
        <w:t>σχετικής</w:t>
      </w:r>
      <w:r>
        <w:rPr>
          <w:rFonts w:ascii="Bookman Old Style" w:hAnsi="Bookman Old Style"/>
          <w:sz w:val="24"/>
          <w:szCs w:val="24"/>
        </w:rPr>
        <w:t xml:space="preserve"> νομολογίας του Διεθνούς Δικαστηρίου της Χάγης, ας σημειωθεί ότι η προμνημονευόμενη Διάταξή του αναφορικά με την Ελλάδα –που</w:t>
      </w:r>
      <w:r w:rsidR="00FE4E56">
        <w:rPr>
          <w:rFonts w:ascii="Bookman Old Style" w:hAnsi="Bookman Old Style"/>
          <w:sz w:val="24"/>
          <w:szCs w:val="24"/>
        </w:rPr>
        <w:t>,</w:t>
      </w:r>
      <w:r>
        <w:rPr>
          <w:rFonts w:ascii="Bookman Old Style" w:hAnsi="Bookman Old Style"/>
          <w:sz w:val="24"/>
          <w:szCs w:val="24"/>
        </w:rPr>
        <w:t xml:space="preserve"> ούτως ή άλλως, στηρίχθηκε σε </w:t>
      </w:r>
      <w:r w:rsidR="00FE4E56">
        <w:rPr>
          <w:rFonts w:ascii="Bookman Old Style" w:hAnsi="Bookman Old Style"/>
          <w:sz w:val="24"/>
          <w:szCs w:val="24"/>
        </w:rPr>
        <w:t>δικά του</w:t>
      </w:r>
      <w:r>
        <w:rPr>
          <w:rFonts w:ascii="Bookman Old Style" w:hAnsi="Bookman Old Style"/>
          <w:sz w:val="24"/>
          <w:szCs w:val="24"/>
        </w:rPr>
        <w:t xml:space="preserve"> </w:t>
      </w:r>
      <w:proofErr w:type="spellStart"/>
      <w:r>
        <w:rPr>
          <w:rFonts w:ascii="Bookman Old Style" w:hAnsi="Bookman Old Style"/>
          <w:sz w:val="24"/>
          <w:szCs w:val="24"/>
        </w:rPr>
        <w:t>νομολογιακά</w:t>
      </w:r>
      <w:proofErr w:type="spellEnd"/>
      <w:r>
        <w:rPr>
          <w:rFonts w:ascii="Bookman Old Style" w:hAnsi="Bookman Old Style"/>
          <w:sz w:val="24"/>
          <w:szCs w:val="24"/>
        </w:rPr>
        <w:t xml:space="preserve"> προηγούμενα- υπήρξε «προάγγελος» και για πολλές άλλες </w:t>
      </w:r>
      <w:r w:rsidR="00FE4E56">
        <w:rPr>
          <w:rFonts w:ascii="Bookman Old Style" w:hAnsi="Bookman Old Style"/>
          <w:sz w:val="24"/>
          <w:szCs w:val="24"/>
        </w:rPr>
        <w:t xml:space="preserve">μεταγενέστερες </w:t>
      </w:r>
      <w:r>
        <w:rPr>
          <w:rFonts w:ascii="Bookman Old Style" w:hAnsi="Bookman Old Style"/>
          <w:sz w:val="24"/>
          <w:szCs w:val="24"/>
        </w:rPr>
        <w:t xml:space="preserve">αποφάσεις του, προς την ίδια, ακριβώς, κατεύθυνση.  Για παράδειγμα, και πέραν των ανάλογων σκεπτικών του Διεθνούς Δικαστηρίου της Χάγης στην απόφαση «Ρουμανία </w:t>
      </w:r>
      <w:r>
        <w:rPr>
          <w:rFonts w:ascii="Bookman Old Style" w:hAnsi="Bookman Old Style"/>
          <w:sz w:val="24"/>
          <w:szCs w:val="24"/>
          <w:lang w:val="en-US"/>
        </w:rPr>
        <w:t>v</w:t>
      </w:r>
      <w:r w:rsidR="00207CAA">
        <w:rPr>
          <w:rFonts w:ascii="Bookman Old Style" w:hAnsi="Bookman Old Style"/>
          <w:sz w:val="24"/>
          <w:szCs w:val="24"/>
          <w:lang w:val="en-US"/>
        </w:rPr>
        <w:t>s</w:t>
      </w:r>
      <w:r w:rsidRPr="00F911DF">
        <w:rPr>
          <w:rFonts w:ascii="Bookman Old Style" w:hAnsi="Bookman Old Style"/>
          <w:sz w:val="24"/>
          <w:szCs w:val="24"/>
        </w:rPr>
        <w:t xml:space="preserve"> </w:t>
      </w:r>
      <w:r>
        <w:rPr>
          <w:rFonts w:ascii="Bookman Old Style" w:hAnsi="Bookman Old Style"/>
          <w:sz w:val="24"/>
          <w:szCs w:val="24"/>
        </w:rPr>
        <w:t>Ουκρανίας» (</w:t>
      </w:r>
      <w:r>
        <w:rPr>
          <w:rFonts w:ascii="Bookman Old Style" w:hAnsi="Bookman Old Style"/>
          <w:sz w:val="24"/>
          <w:szCs w:val="24"/>
          <w:lang w:val="en-US"/>
        </w:rPr>
        <w:t>Reports</w:t>
      </w:r>
      <w:r w:rsidRPr="00F911DF">
        <w:rPr>
          <w:rFonts w:ascii="Bookman Old Style" w:hAnsi="Bookman Old Style"/>
          <w:sz w:val="24"/>
          <w:szCs w:val="24"/>
        </w:rPr>
        <w:t xml:space="preserve"> 2009, </w:t>
      </w:r>
      <w:r>
        <w:rPr>
          <w:rFonts w:ascii="Bookman Old Style" w:hAnsi="Bookman Old Style"/>
          <w:sz w:val="24"/>
          <w:szCs w:val="24"/>
        </w:rPr>
        <w:t xml:space="preserve">ιδίως σελ. 100 </w:t>
      </w:r>
      <w:proofErr w:type="spellStart"/>
      <w:r>
        <w:rPr>
          <w:rFonts w:ascii="Bookman Old Style" w:hAnsi="Bookman Old Style"/>
          <w:sz w:val="24"/>
          <w:szCs w:val="24"/>
        </w:rPr>
        <w:t>επ</w:t>
      </w:r>
      <w:proofErr w:type="spellEnd"/>
      <w:r>
        <w:rPr>
          <w:rFonts w:ascii="Bookman Old Style" w:hAnsi="Bookman Old Style"/>
          <w:sz w:val="24"/>
          <w:szCs w:val="24"/>
        </w:rPr>
        <w:t>.), εξαιρετικά χαρακτηριστικό είναι το εξής σκεπτικό (</w:t>
      </w:r>
      <w:proofErr w:type="spellStart"/>
      <w:r>
        <w:rPr>
          <w:rFonts w:ascii="Bookman Old Style" w:hAnsi="Bookman Old Style"/>
          <w:sz w:val="24"/>
          <w:szCs w:val="24"/>
        </w:rPr>
        <w:t>αρ</w:t>
      </w:r>
      <w:proofErr w:type="spellEnd"/>
      <w:r>
        <w:rPr>
          <w:rFonts w:ascii="Bookman Old Style" w:hAnsi="Bookman Old Style"/>
          <w:sz w:val="24"/>
          <w:szCs w:val="24"/>
        </w:rPr>
        <w:t xml:space="preserve">. 227) στην απόφασή του «Νικαράγουα </w:t>
      </w:r>
      <w:r>
        <w:rPr>
          <w:rFonts w:ascii="Bookman Old Style" w:hAnsi="Bookman Old Style"/>
          <w:sz w:val="24"/>
          <w:szCs w:val="24"/>
          <w:lang w:val="en-US"/>
        </w:rPr>
        <w:t>v</w:t>
      </w:r>
      <w:r w:rsidR="00207CAA">
        <w:rPr>
          <w:rFonts w:ascii="Bookman Old Style" w:hAnsi="Bookman Old Style"/>
          <w:sz w:val="24"/>
          <w:szCs w:val="24"/>
          <w:lang w:val="en-US"/>
        </w:rPr>
        <w:t>s</w:t>
      </w:r>
      <w:r w:rsidRPr="00F911DF">
        <w:rPr>
          <w:rFonts w:ascii="Bookman Old Style" w:hAnsi="Bookman Old Style"/>
          <w:sz w:val="24"/>
          <w:szCs w:val="24"/>
        </w:rPr>
        <w:t xml:space="preserve"> </w:t>
      </w:r>
      <w:r>
        <w:rPr>
          <w:rFonts w:ascii="Bookman Old Style" w:hAnsi="Bookman Old Style"/>
          <w:sz w:val="24"/>
          <w:szCs w:val="24"/>
        </w:rPr>
        <w:t>Κολομβίας»</w:t>
      </w:r>
      <w:r w:rsidR="00FE4E56">
        <w:rPr>
          <w:rFonts w:ascii="Bookman Old Style" w:hAnsi="Bookman Old Style"/>
          <w:sz w:val="24"/>
          <w:szCs w:val="24"/>
        </w:rPr>
        <w:t>,</w:t>
      </w:r>
      <w:r>
        <w:rPr>
          <w:rFonts w:ascii="Bookman Old Style" w:hAnsi="Bookman Old Style"/>
          <w:sz w:val="24"/>
          <w:szCs w:val="24"/>
        </w:rPr>
        <w:t xml:space="preserve"> του 2012: «</w:t>
      </w:r>
      <w:r w:rsidR="00FE4E56">
        <w:rPr>
          <w:rFonts w:ascii="Bookman Old Style" w:hAnsi="Bookman Old Style"/>
          <w:i/>
          <w:sz w:val="24"/>
          <w:szCs w:val="24"/>
        </w:rPr>
        <w:t>Α</w:t>
      </w:r>
      <w:r w:rsidRPr="00F911DF">
        <w:rPr>
          <w:rFonts w:ascii="Bookman Old Style" w:hAnsi="Bookman Old Style"/>
          <w:i/>
          <w:sz w:val="24"/>
          <w:szCs w:val="24"/>
        </w:rPr>
        <w:t>ποτελεί θεμελιώδη αρχή του Διεθνούς Δικαίου, το ότι μια συμφωνία μεταξύ δύο Κρατών δεν μπορεί, από μόνη της, να θίξει τα δικαιώματα ενός τρίτου Κράτους»</w:t>
      </w:r>
      <w:r>
        <w:rPr>
          <w:rFonts w:ascii="Bookman Old Style" w:hAnsi="Bookman Old Style"/>
          <w:sz w:val="24"/>
          <w:szCs w:val="24"/>
        </w:rPr>
        <w:t xml:space="preserve">. </w:t>
      </w:r>
    </w:p>
    <w:p w:rsidR="00F911DF" w:rsidRDefault="00F911DF" w:rsidP="00F911DF">
      <w:pPr>
        <w:pStyle w:val="a5"/>
        <w:spacing w:before="240" w:line="360" w:lineRule="auto"/>
        <w:ind w:left="0"/>
        <w:contextualSpacing w:val="0"/>
        <w:jc w:val="center"/>
        <w:rPr>
          <w:rFonts w:ascii="Bookman Old Style" w:hAnsi="Bookman Old Style"/>
          <w:b/>
          <w:sz w:val="24"/>
          <w:szCs w:val="24"/>
        </w:rPr>
      </w:pPr>
      <w:r w:rsidRPr="00F911DF">
        <w:rPr>
          <w:rFonts w:ascii="Bookman Old Style" w:hAnsi="Bookman Old Style"/>
          <w:b/>
          <w:sz w:val="24"/>
          <w:szCs w:val="24"/>
        </w:rPr>
        <w:t>Επίλογος</w:t>
      </w:r>
    </w:p>
    <w:p w:rsidR="00F911DF" w:rsidRDefault="00F911DF" w:rsidP="00F911DF">
      <w:pPr>
        <w:pStyle w:val="a5"/>
        <w:spacing w:before="240" w:line="360" w:lineRule="auto"/>
        <w:ind w:left="0"/>
        <w:contextualSpacing w:val="0"/>
        <w:jc w:val="both"/>
        <w:rPr>
          <w:rFonts w:ascii="Bookman Old Style" w:hAnsi="Bookman Old Style"/>
          <w:sz w:val="24"/>
          <w:szCs w:val="24"/>
        </w:rPr>
      </w:pPr>
      <w:r>
        <w:rPr>
          <w:rFonts w:ascii="Bookman Old Style" w:hAnsi="Bookman Old Style"/>
          <w:sz w:val="24"/>
          <w:szCs w:val="24"/>
        </w:rPr>
        <w:t>Εν κατακλείδι, από την σειρά συλλογισμών που προηγήθηκαν συνάγεται ότι το «</w:t>
      </w:r>
      <w:proofErr w:type="spellStart"/>
      <w:r>
        <w:rPr>
          <w:rFonts w:ascii="Bookman Old Style" w:hAnsi="Bookman Old Style"/>
          <w:sz w:val="24"/>
          <w:szCs w:val="24"/>
        </w:rPr>
        <w:t>τουρκολιβυκό</w:t>
      </w:r>
      <w:proofErr w:type="spellEnd"/>
      <w:r>
        <w:rPr>
          <w:rFonts w:ascii="Bookman Old Style" w:hAnsi="Bookman Old Style"/>
          <w:sz w:val="24"/>
          <w:szCs w:val="24"/>
        </w:rPr>
        <w:t xml:space="preserve"> μνημόνιο» της </w:t>
      </w:r>
      <w:r w:rsidR="007C58E8">
        <w:rPr>
          <w:rFonts w:ascii="Bookman Old Style" w:hAnsi="Bookman Old Style"/>
          <w:sz w:val="24"/>
          <w:szCs w:val="24"/>
        </w:rPr>
        <w:t>2</w:t>
      </w:r>
      <w:r>
        <w:rPr>
          <w:rFonts w:ascii="Bookman Old Style" w:hAnsi="Bookman Old Style"/>
          <w:sz w:val="24"/>
          <w:szCs w:val="24"/>
        </w:rPr>
        <w:t xml:space="preserve">7.11.2019 στερείται </w:t>
      </w:r>
      <w:r w:rsidR="00FE4E56">
        <w:rPr>
          <w:rFonts w:ascii="Bookman Old Style" w:hAnsi="Bookman Old Style"/>
          <w:sz w:val="24"/>
          <w:szCs w:val="24"/>
        </w:rPr>
        <w:t xml:space="preserve">στοιχειώδους </w:t>
      </w:r>
      <w:r>
        <w:rPr>
          <w:rFonts w:ascii="Bookman Old Style" w:hAnsi="Bookman Old Style"/>
          <w:sz w:val="24"/>
          <w:szCs w:val="24"/>
        </w:rPr>
        <w:t xml:space="preserve">νομικού κύρους, τόσο λόγω του τρόπου σύναψής του κατ’ ευθεία παράβαση των διατάξεων της Σύμβασης της Βιέννης, όσο και λόγω της κατάφωρης παραβίασης ουσιωδών διατάξεων της «Σύμβασης του </w:t>
      </w:r>
      <w:r>
        <w:rPr>
          <w:rFonts w:ascii="Bookman Old Style" w:hAnsi="Bookman Old Style"/>
          <w:sz w:val="24"/>
          <w:szCs w:val="24"/>
          <w:lang w:val="en-US"/>
        </w:rPr>
        <w:t>Montego</w:t>
      </w:r>
      <w:r w:rsidRPr="00F911DF">
        <w:rPr>
          <w:rFonts w:ascii="Bookman Old Style" w:hAnsi="Bookman Old Style"/>
          <w:sz w:val="24"/>
          <w:szCs w:val="24"/>
        </w:rPr>
        <w:t xml:space="preserve"> </w:t>
      </w:r>
      <w:r>
        <w:rPr>
          <w:rFonts w:ascii="Bookman Old Style" w:hAnsi="Bookman Old Style"/>
          <w:sz w:val="24"/>
          <w:szCs w:val="24"/>
          <w:lang w:val="en-US"/>
        </w:rPr>
        <w:t>Bay</w:t>
      </w:r>
      <w:r>
        <w:rPr>
          <w:rFonts w:ascii="Bookman Old Style" w:hAnsi="Bookman Old Style"/>
          <w:sz w:val="24"/>
          <w:szCs w:val="24"/>
        </w:rPr>
        <w:t xml:space="preserve">» του 1982, ως προς την </w:t>
      </w:r>
      <w:r w:rsidR="006A1701">
        <w:rPr>
          <w:rFonts w:ascii="Bookman Old Style" w:hAnsi="Bookman Old Style"/>
          <w:sz w:val="24"/>
          <w:szCs w:val="24"/>
        </w:rPr>
        <w:t xml:space="preserve">οριοθέτηση ΑΟΖ. </w:t>
      </w:r>
    </w:p>
    <w:p w:rsidR="006A1701" w:rsidRDefault="006A1701" w:rsidP="006A1701">
      <w:pPr>
        <w:pStyle w:val="a5"/>
        <w:spacing w:before="240" w:line="360" w:lineRule="auto"/>
        <w:ind w:left="284" w:hanging="284"/>
        <w:contextualSpacing w:val="0"/>
        <w:jc w:val="both"/>
        <w:rPr>
          <w:rFonts w:ascii="Bookman Old Style" w:hAnsi="Bookman Old Style"/>
          <w:sz w:val="24"/>
          <w:szCs w:val="24"/>
        </w:rPr>
      </w:pPr>
      <w:r>
        <w:rPr>
          <w:rFonts w:ascii="Bookman Old Style" w:hAnsi="Bookman Old Style"/>
          <w:b/>
          <w:sz w:val="24"/>
          <w:szCs w:val="24"/>
        </w:rPr>
        <w:t xml:space="preserve">Α. </w:t>
      </w:r>
      <w:r>
        <w:rPr>
          <w:rFonts w:ascii="Bookman Old Style" w:hAnsi="Bookman Old Style"/>
          <w:sz w:val="24"/>
          <w:szCs w:val="24"/>
        </w:rPr>
        <w:t>Επί των ανωτέρω παρατηρείται περιληπτικώς ότι το «</w:t>
      </w:r>
      <w:proofErr w:type="spellStart"/>
      <w:r>
        <w:rPr>
          <w:rFonts w:ascii="Bookman Old Style" w:hAnsi="Bookman Old Style"/>
          <w:sz w:val="24"/>
          <w:szCs w:val="24"/>
        </w:rPr>
        <w:t>τουρκολιβυκό</w:t>
      </w:r>
      <w:proofErr w:type="spellEnd"/>
      <w:r>
        <w:rPr>
          <w:rFonts w:ascii="Bookman Old Style" w:hAnsi="Bookman Old Style"/>
          <w:sz w:val="24"/>
          <w:szCs w:val="24"/>
        </w:rPr>
        <w:t xml:space="preserve"> μνημόνιο» έχει συναφθεί κατά παράβαση κανόνων «θεμελιώδους σημασίας» του εσωτερικού Δικαίου της Λιβύης, ήτοι χωρίς την σύμπραξη της Βουλής των Αντιπροσώπων του Κράτους αυτού, ακόμη δε περισσότερο με ρητή δήλωση του Προέδρου της περί μη αναγνώρισης του «μνημονίου» τούτου.  </w:t>
      </w:r>
      <w:r w:rsidR="00FE4E56">
        <w:rPr>
          <w:rFonts w:ascii="Bookman Old Style" w:hAnsi="Bookman Old Style"/>
          <w:sz w:val="24"/>
          <w:szCs w:val="24"/>
        </w:rPr>
        <w:t>Κ</w:t>
      </w:r>
      <w:r>
        <w:rPr>
          <w:rFonts w:ascii="Bookman Old Style" w:hAnsi="Bookman Old Style"/>
          <w:sz w:val="24"/>
          <w:szCs w:val="24"/>
        </w:rPr>
        <w:t xml:space="preserve">ατά την ορθή δε ερμηνεία των διατάξεων του άρθρου 46 παρ. 1 της Σύμβασης της Βιέννης, σύμφωνα και με την νομολογία του Διεθνούς Δικαστηρίου της Χάγης, η ως άνω πλημμέλεια </w:t>
      </w:r>
      <w:r>
        <w:rPr>
          <w:rFonts w:ascii="Bookman Old Style" w:hAnsi="Bookman Old Style"/>
          <w:sz w:val="24"/>
          <w:szCs w:val="24"/>
        </w:rPr>
        <w:lastRenderedPageBreak/>
        <w:t>καθιστά το «</w:t>
      </w:r>
      <w:proofErr w:type="spellStart"/>
      <w:r>
        <w:rPr>
          <w:rFonts w:ascii="Bookman Old Style" w:hAnsi="Bookman Old Style"/>
          <w:sz w:val="24"/>
          <w:szCs w:val="24"/>
        </w:rPr>
        <w:t>τουρκολιβυκό</w:t>
      </w:r>
      <w:proofErr w:type="spellEnd"/>
      <w:r>
        <w:rPr>
          <w:rFonts w:ascii="Bookman Old Style" w:hAnsi="Bookman Old Style"/>
          <w:sz w:val="24"/>
          <w:szCs w:val="24"/>
        </w:rPr>
        <w:t xml:space="preserve"> μνημόνιο» νομικώς ανυπόστατο και ανίκανο να παραγάγει έννομα αποτελέσματα στο πεδίο της Διεθνούς Κοινότητας, άρα και έναντι της Ελλάδας και της Ευρωπαϊκής Ένωσης.  </w:t>
      </w:r>
      <w:proofErr w:type="spellStart"/>
      <w:r>
        <w:rPr>
          <w:rFonts w:ascii="Bookman Old Style" w:hAnsi="Bookman Old Style"/>
          <w:sz w:val="24"/>
          <w:szCs w:val="24"/>
        </w:rPr>
        <w:t>Πολλώ</w:t>
      </w:r>
      <w:proofErr w:type="spellEnd"/>
      <w:r>
        <w:rPr>
          <w:rFonts w:ascii="Bookman Old Style" w:hAnsi="Bookman Old Style"/>
          <w:sz w:val="24"/>
          <w:szCs w:val="24"/>
        </w:rPr>
        <w:t xml:space="preserve"> μάλλον όταν η συνέπεια αυτή απορρέει, έναντι της Ελλάδας και της Ευρωπαϊκής Ένωσης, και κατ’ εφαρμογή της αρχής </w:t>
      </w:r>
      <w:r w:rsidR="00FE4E56">
        <w:rPr>
          <w:rFonts w:ascii="Bookman Old Style" w:hAnsi="Bookman Old Style"/>
          <w:sz w:val="24"/>
          <w:szCs w:val="24"/>
        </w:rPr>
        <w:t>«</w:t>
      </w:r>
      <w:r>
        <w:rPr>
          <w:rFonts w:ascii="Bookman Old Style" w:hAnsi="Bookman Old Style"/>
          <w:sz w:val="24"/>
          <w:szCs w:val="24"/>
          <w:lang w:val="en-US"/>
        </w:rPr>
        <w:t>res</w:t>
      </w:r>
      <w:r w:rsidRPr="006A1701">
        <w:rPr>
          <w:rFonts w:ascii="Bookman Old Style" w:hAnsi="Bookman Old Style"/>
          <w:sz w:val="24"/>
          <w:szCs w:val="24"/>
        </w:rPr>
        <w:t xml:space="preserve"> </w:t>
      </w:r>
      <w:r>
        <w:rPr>
          <w:rFonts w:ascii="Bookman Old Style" w:hAnsi="Bookman Old Style"/>
          <w:sz w:val="24"/>
          <w:szCs w:val="24"/>
          <w:lang w:val="en-US"/>
        </w:rPr>
        <w:t>inter</w:t>
      </w:r>
      <w:r w:rsidRPr="006A1701">
        <w:rPr>
          <w:rFonts w:ascii="Bookman Old Style" w:hAnsi="Bookman Old Style"/>
          <w:sz w:val="24"/>
          <w:szCs w:val="24"/>
        </w:rPr>
        <w:t xml:space="preserve"> </w:t>
      </w:r>
      <w:proofErr w:type="spellStart"/>
      <w:r>
        <w:rPr>
          <w:rFonts w:ascii="Bookman Old Style" w:hAnsi="Bookman Old Style"/>
          <w:sz w:val="24"/>
          <w:szCs w:val="24"/>
          <w:lang w:val="en-US"/>
        </w:rPr>
        <w:t>alios</w:t>
      </w:r>
      <w:proofErr w:type="spellEnd"/>
      <w:r w:rsidRPr="006A1701">
        <w:rPr>
          <w:rFonts w:ascii="Bookman Old Style" w:hAnsi="Bookman Old Style"/>
          <w:sz w:val="24"/>
          <w:szCs w:val="24"/>
        </w:rPr>
        <w:t xml:space="preserve"> </w:t>
      </w:r>
      <w:r>
        <w:rPr>
          <w:rFonts w:ascii="Bookman Old Style" w:hAnsi="Bookman Old Style"/>
          <w:sz w:val="24"/>
          <w:szCs w:val="24"/>
          <w:lang w:val="en-US"/>
        </w:rPr>
        <w:t>acta</w:t>
      </w:r>
      <w:r w:rsidR="00FE4E56">
        <w:rPr>
          <w:rFonts w:ascii="Bookman Old Style" w:hAnsi="Bookman Old Style"/>
          <w:sz w:val="24"/>
          <w:szCs w:val="24"/>
        </w:rPr>
        <w:t>»</w:t>
      </w:r>
      <w:r w:rsidRPr="006A1701">
        <w:rPr>
          <w:rFonts w:ascii="Bookman Old Style" w:hAnsi="Bookman Old Style"/>
          <w:sz w:val="24"/>
          <w:szCs w:val="24"/>
        </w:rPr>
        <w:t xml:space="preserve"> </w:t>
      </w:r>
      <w:r>
        <w:rPr>
          <w:rFonts w:ascii="Bookman Old Style" w:hAnsi="Bookman Old Style"/>
          <w:sz w:val="24"/>
          <w:szCs w:val="24"/>
        </w:rPr>
        <w:t xml:space="preserve">κατά την νομολογία του Διεθνούς Δικαστηρίου της Χάγης.  Επιπλέον -και κατ’ </w:t>
      </w:r>
      <w:proofErr w:type="spellStart"/>
      <w:r>
        <w:rPr>
          <w:rFonts w:ascii="Bookman Old Style" w:hAnsi="Bookman Old Style"/>
          <w:sz w:val="24"/>
          <w:szCs w:val="24"/>
        </w:rPr>
        <w:t>ουσίαν</w:t>
      </w:r>
      <w:proofErr w:type="spellEnd"/>
      <w:r w:rsidR="00221EA7">
        <w:rPr>
          <w:rFonts w:ascii="Bookman Old Style" w:hAnsi="Bookman Old Style"/>
          <w:sz w:val="24"/>
          <w:szCs w:val="24"/>
        </w:rPr>
        <w:t xml:space="preserve"> αυτή την φορά-</w:t>
      </w:r>
      <w:r w:rsidR="00207CAA" w:rsidRPr="00207CAA">
        <w:rPr>
          <w:rFonts w:ascii="Bookman Old Style" w:hAnsi="Bookman Old Style"/>
          <w:sz w:val="24"/>
          <w:szCs w:val="24"/>
        </w:rPr>
        <w:t xml:space="preserve"> </w:t>
      </w:r>
      <w:r w:rsidR="00221EA7">
        <w:rPr>
          <w:rFonts w:ascii="Bookman Old Style" w:hAnsi="Bookman Old Style"/>
          <w:sz w:val="24"/>
          <w:szCs w:val="24"/>
        </w:rPr>
        <w:t>το «</w:t>
      </w:r>
      <w:proofErr w:type="spellStart"/>
      <w:r w:rsidR="00221EA7">
        <w:rPr>
          <w:rFonts w:ascii="Bookman Old Style" w:hAnsi="Bookman Old Style"/>
          <w:sz w:val="24"/>
          <w:szCs w:val="24"/>
        </w:rPr>
        <w:t>τουρκολιβυκό</w:t>
      </w:r>
      <w:proofErr w:type="spellEnd"/>
      <w:r w:rsidR="00221EA7">
        <w:rPr>
          <w:rFonts w:ascii="Bookman Old Style" w:hAnsi="Bookman Old Style"/>
          <w:sz w:val="24"/>
          <w:szCs w:val="24"/>
        </w:rPr>
        <w:t xml:space="preserve"> μνημόνιο» </w:t>
      </w:r>
      <w:r w:rsidR="00A607A5">
        <w:rPr>
          <w:rFonts w:ascii="Bookman Old Style" w:hAnsi="Bookman Old Style"/>
          <w:sz w:val="24"/>
          <w:szCs w:val="24"/>
        </w:rPr>
        <w:t>επιχειρεί οριοθέτηση ΑΟΖ μεταξύ Τουρκίας και Λιβύης παραβιάζοντας τόσο κατάφωρα ουσιώδεις</w:t>
      </w:r>
      <w:r w:rsidR="00FE4E56">
        <w:rPr>
          <w:rFonts w:ascii="Bookman Old Style" w:hAnsi="Bookman Old Style"/>
          <w:sz w:val="24"/>
          <w:szCs w:val="24"/>
        </w:rPr>
        <w:t>,</w:t>
      </w:r>
      <w:r w:rsidR="00A607A5">
        <w:rPr>
          <w:rFonts w:ascii="Bookman Old Style" w:hAnsi="Bookman Old Style"/>
          <w:sz w:val="24"/>
          <w:szCs w:val="24"/>
        </w:rPr>
        <w:t xml:space="preserve"> εν προκειμένω</w:t>
      </w:r>
      <w:r w:rsidR="00FE4E56">
        <w:rPr>
          <w:rFonts w:ascii="Bookman Old Style" w:hAnsi="Bookman Old Style"/>
          <w:sz w:val="24"/>
          <w:szCs w:val="24"/>
        </w:rPr>
        <w:t>,</w:t>
      </w:r>
      <w:r w:rsidR="00A607A5">
        <w:rPr>
          <w:rFonts w:ascii="Bookman Old Style" w:hAnsi="Bookman Old Style"/>
          <w:sz w:val="24"/>
          <w:szCs w:val="24"/>
        </w:rPr>
        <w:t xml:space="preserve"> διατάξεις της «Σύμβασης του </w:t>
      </w:r>
      <w:r w:rsidR="00A607A5">
        <w:rPr>
          <w:rFonts w:ascii="Bookman Old Style" w:hAnsi="Bookman Old Style"/>
          <w:sz w:val="24"/>
          <w:szCs w:val="24"/>
          <w:lang w:val="en-US"/>
        </w:rPr>
        <w:t>Montego</w:t>
      </w:r>
      <w:r w:rsidR="00A607A5" w:rsidRPr="00A607A5">
        <w:rPr>
          <w:rFonts w:ascii="Bookman Old Style" w:hAnsi="Bookman Old Style"/>
          <w:sz w:val="24"/>
          <w:szCs w:val="24"/>
        </w:rPr>
        <w:t xml:space="preserve"> </w:t>
      </w:r>
      <w:r w:rsidR="00A607A5">
        <w:rPr>
          <w:rFonts w:ascii="Bookman Old Style" w:hAnsi="Bookman Old Style"/>
          <w:sz w:val="24"/>
          <w:szCs w:val="24"/>
          <w:lang w:val="en-US"/>
        </w:rPr>
        <w:t>Bay</w:t>
      </w:r>
      <w:r w:rsidR="00A607A5">
        <w:rPr>
          <w:rFonts w:ascii="Bookman Old Style" w:hAnsi="Bookman Old Style"/>
          <w:sz w:val="24"/>
          <w:szCs w:val="24"/>
        </w:rPr>
        <w:t xml:space="preserve">» του 1982, όπως αυτές έχουν ερμηνευθεί από την νομολογία του Διεθνούς Δικαστηρίου της Χάγης, ώστε συνιστά </w:t>
      </w:r>
      <w:r w:rsidR="00FE4E56">
        <w:rPr>
          <w:rFonts w:ascii="Bookman Old Style" w:hAnsi="Bookman Old Style"/>
          <w:sz w:val="24"/>
          <w:szCs w:val="24"/>
        </w:rPr>
        <w:t>πρωτόγνωρο</w:t>
      </w:r>
      <w:r w:rsidR="00A607A5">
        <w:rPr>
          <w:rFonts w:ascii="Bookman Old Style" w:hAnsi="Bookman Old Style"/>
          <w:sz w:val="24"/>
          <w:szCs w:val="24"/>
        </w:rPr>
        <w:t xml:space="preserve"> αρνητικό παράδειγμα παραβίασης του Διεθνούς Δικαίου και της Διεθνούς Νομιμότητας.  </w:t>
      </w:r>
      <w:r w:rsidR="00FE4E56">
        <w:rPr>
          <w:rFonts w:ascii="Bookman Old Style" w:hAnsi="Bookman Old Style"/>
          <w:sz w:val="24"/>
          <w:szCs w:val="24"/>
        </w:rPr>
        <w:t>Μ</w:t>
      </w:r>
      <w:r w:rsidR="00A607A5">
        <w:rPr>
          <w:rFonts w:ascii="Bookman Old Style" w:hAnsi="Bookman Old Style"/>
          <w:sz w:val="24"/>
          <w:szCs w:val="24"/>
        </w:rPr>
        <w:t>ε την έννοια ότι η ανοχή του και, πολύ περισσότερο, η αναγνώρισή του από την Διεθνή Κοινότητα και τον ΟΗΕ θέτει σε μέγιστο κίνδυνο το κύρος και την αποτελεσματικότητα του Διεθνούς Δικαίου και</w:t>
      </w:r>
      <w:r w:rsidR="00FE4E56">
        <w:rPr>
          <w:rFonts w:ascii="Bookman Old Style" w:hAnsi="Bookman Old Style"/>
          <w:sz w:val="24"/>
          <w:szCs w:val="24"/>
        </w:rPr>
        <w:t>,</w:t>
      </w:r>
      <w:r w:rsidR="00A607A5">
        <w:rPr>
          <w:rFonts w:ascii="Bookman Old Style" w:hAnsi="Bookman Old Style"/>
          <w:sz w:val="24"/>
          <w:szCs w:val="24"/>
        </w:rPr>
        <w:t xml:space="preserve"> στην συγκεκριμένη περίπτωση</w:t>
      </w:r>
      <w:r w:rsidR="00FE4E56">
        <w:rPr>
          <w:rFonts w:ascii="Bookman Old Style" w:hAnsi="Bookman Old Style"/>
          <w:sz w:val="24"/>
          <w:szCs w:val="24"/>
        </w:rPr>
        <w:t>,</w:t>
      </w:r>
      <w:r w:rsidR="00A607A5">
        <w:rPr>
          <w:rFonts w:ascii="Bookman Old Style" w:hAnsi="Bookman Old Style"/>
          <w:sz w:val="24"/>
          <w:szCs w:val="24"/>
        </w:rPr>
        <w:t xml:space="preserve"> του Δικαίου της Θάλασσας κατά την «Σύμβαση του </w:t>
      </w:r>
      <w:r w:rsidR="00A607A5">
        <w:rPr>
          <w:rFonts w:ascii="Bookman Old Style" w:hAnsi="Bookman Old Style"/>
          <w:sz w:val="24"/>
          <w:szCs w:val="24"/>
          <w:lang w:val="en-US"/>
        </w:rPr>
        <w:t>Montego</w:t>
      </w:r>
      <w:r w:rsidR="00A607A5" w:rsidRPr="00A607A5">
        <w:rPr>
          <w:rFonts w:ascii="Bookman Old Style" w:hAnsi="Bookman Old Style"/>
          <w:sz w:val="24"/>
          <w:szCs w:val="24"/>
        </w:rPr>
        <w:t xml:space="preserve"> </w:t>
      </w:r>
      <w:r w:rsidR="00A607A5">
        <w:rPr>
          <w:rFonts w:ascii="Bookman Old Style" w:hAnsi="Bookman Old Style"/>
          <w:sz w:val="24"/>
          <w:szCs w:val="24"/>
          <w:lang w:val="en-US"/>
        </w:rPr>
        <w:t>Bay</w:t>
      </w:r>
      <w:r w:rsidR="00A607A5">
        <w:rPr>
          <w:rFonts w:ascii="Bookman Old Style" w:hAnsi="Bookman Old Style"/>
          <w:sz w:val="24"/>
          <w:szCs w:val="24"/>
        </w:rPr>
        <w:t>» του 1982.</w:t>
      </w:r>
    </w:p>
    <w:p w:rsidR="0015746F" w:rsidRDefault="00A607A5" w:rsidP="00857BB9">
      <w:pPr>
        <w:pStyle w:val="a5"/>
        <w:spacing w:before="240" w:line="360" w:lineRule="auto"/>
        <w:ind w:left="284" w:hanging="284"/>
        <w:contextualSpacing w:val="0"/>
        <w:jc w:val="both"/>
        <w:rPr>
          <w:rFonts w:ascii="Bookman Old Style" w:hAnsi="Bookman Old Style"/>
          <w:sz w:val="24"/>
          <w:szCs w:val="24"/>
        </w:rPr>
      </w:pPr>
      <w:r>
        <w:rPr>
          <w:rFonts w:ascii="Bookman Old Style" w:hAnsi="Bookman Old Style"/>
          <w:b/>
          <w:sz w:val="24"/>
          <w:szCs w:val="24"/>
        </w:rPr>
        <w:t>Β.</w:t>
      </w:r>
      <w:r>
        <w:rPr>
          <w:rFonts w:ascii="Bookman Old Style" w:hAnsi="Bookman Old Style"/>
          <w:sz w:val="24"/>
          <w:szCs w:val="24"/>
        </w:rPr>
        <w:t xml:space="preserve"> Από την πλευρά της Ελλάδας και της Ευρωπαϊκής Ένωσης έχει, ευθύς εξ αρχής, καταστεί σαφές ότι το «</w:t>
      </w:r>
      <w:proofErr w:type="spellStart"/>
      <w:r>
        <w:rPr>
          <w:rFonts w:ascii="Bookman Old Style" w:hAnsi="Bookman Old Style"/>
          <w:sz w:val="24"/>
          <w:szCs w:val="24"/>
        </w:rPr>
        <w:t>τουρκολιβυκό</w:t>
      </w:r>
      <w:proofErr w:type="spellEnd"/>
      <w:r>
        <w:rPr>
          <w:rFonts w:ascii="Bookman Old Style" w:hAnsi="Bookman Old Style"/>
          <w:sz w:val="24"/>
          <w:szCs w:val="24"/>
        </w:rPr>
        <w:t xml:space="preserve"> μνημόνιο», υπό τ’ ανωτέρω δεδομένα, είναι νομικώς ανυπόστατο και δεν παράγει έννομα αποτελέσματα.  Άκρως χαρακτηριστικά και αντιπροσωπευτικά προς αυτή την κατεύθυνση είναι τα συμπεράσματα του Ευρωπαϊκού Συμβουλίου της 12</w:t>
      </w:r>
      <w:r w:rsidR="00207CAA">
        <w:rPr>
          <w:rFonts w:ascii="Bookman Old Style" w:hAnsi="Bookman Old Style"/>
          <w:sz w:val="24"/>
          <w:szCs w:val="24"/>
        </w:rPr>
        <w:t>ης</w:t>
      </w:r>
      <w:r>
        <w:rPr>
          <w:rFonts w:ascii="Bookman Old Style" w:hAnsi="Bookman Old Style"/>
          <w:sz w:val="24"/>
          <w:szCs w:val="24"/>
        </w:rPr>
        <w:t xml:space="preserve"> Δεκεμβρίου 2019, σύμφωνα με τα οποία το «</w:t>
      </w:r>
      <w:proofErr w:type="spellStart"/>
      <w:r>
        <w:rPr>
          <w:rFonts w:ascii="Bookman Old Style" w:hAnsi="Bookman Old Style"/>
          <w:sz w:val="24"/>
          <w:szCs w:val="24"/>
        </w:rPr>
        <w:t>τουρκολιβυκό</w:t>
      </w:r>
      <w:proofErr w:type="spellEnd"/>
      <w:r>
        <w:rPr>
          <w:rFonts w:ascii="Bookman Old Style" w:hAnsi="Bookman Old Style"/>
          <w:sz w:val="24"/>
          <w:szCs w:val="24"/>
        </w:rPr>
        <w:t xml:space="preserve"> μνημόνιο» πάσχει από βαρύτατες νομικές πλημμέλειες, αφού παραβιάζει τα κυριαρχικά δικαιώματα τρίτων Κρατών, δεν συνάδει με το Δίκαιο της Θάλασσας και, ως εκ τούτου, δεν μπορεί να παραγάγει έννομα αποτελέσματα.  Η θέση αυτή Ελλάδας και Ευρωπαϊκής Ένωσης είναι οριστική και αμετάκλητη, πράγμα που σημαίνει ότι το «</w:t>
      </w:r>
      <w:proofErr w:type="spellStart"/>
      <w:r>
        <w:rPr>
          <w:rFonts w:ascii="Bookman Old Style" w:hAnsi="Bookman Old Style"/>
          <w:sz w:val="24"/>
          <w:szCs w:val="24"/>
        </w:rPr>
        <w:t>τουρκολιβυκό</w:t>
      </w:r>
      <w:proofErr w:type="spellEnd"/>
      <w:r>
        <w:rPr>
          <w:rFonts w:ascii="Bookman Old Style" w:hAnsi="Bookman Old Style"/>
          <w:sz w:val="24"/>
          <w:szCs w:val="24"/>
        </w:rPr>
        <w:t xml:space="preserve"> μνημόνιο» δεν μπορεί, στο ευρύτερο πεδίο της Ευρωπαϊκής Ένωσης και της Ευρωπαϊκής Έννομης Τάξης, ν’ αποτελέσει βάση οιασδήποτε συζήτησης ως προς την οριοθέτηση της Ευρωπαϊκής ΑΟΖ, πολύ δε περισσότερο ν’ αποτελέσει, αμέσως ή </w:t>
      </w:r>
      <w:r>
        <w:rPr>
          <w:rFonts w:ascii="Bookman Old Style" w:hAnsi="Bookman Old Style"/>
          <w:sz w:val="24"/>
          <w:szCs w:val="24"/>
        </w:rPr>
        <w:lastRenderedPageBreak/>
        <w:t>εμμέσως, βάση για οια</w:t>
      </w:r>
      <w:r w:rsidR="00FE4E56">
        <w:rPr>
          <w:rFonts w:ascii="Bookman Old Style" w:hAnsi="Bookman Old Style"/>
          <w:sz w:val="24"/>
          <w:szCs w:val="24"/>
        </w:rPr>
        <w:t>σ</w:t>
      </w:r>
      <w:r>
        <w:rPr>
          <w:rFonts w:ascii="Bookman Old Style" w:hAnsi="Bookman Old Style"/>
          <w:sz w:val="24"/>
          <w:szCs w:val="24"/>
        </w:rPr>
        <w:t xml:space="preserve">δήποτε </w:t>
      </w:r>
      <w:r w:rsidR="00885A2F">
        <w:rPr>
          <w:rFonts w:ascii="Bookman Old Style" w:hAnsi="Bookman Old Style"/>
          <w:sz w:val="24"/>
          <w:szCs w:val="24"/>
        </w:rPr>
        <w:t>μορφής διαπραγμάτευση</w:t>
      </w:r>
      <w:r>
        <w:rPr>
          <w:rFonts w:ascii="Bookman Old Style" w:hAnsi="Bookman Old Style"/>
          <w:sz w:val="24"/>
          <w:szCs w:val="24"/>
        </w:rPr>
        <w:t xml:space="preserve"> κατά την εκ μέρους της Ελλάδας και της Ευρωπαϊκής Ένωσης διαδικασία οριοθέτησης της Ελληνικής και της Ευρωπαϊκής ΑΟΖ στον χώρο του Αιγαίου και της Ανατολικής Μεσογείου.</w:t>
      </w:r>
      <w:r w:rsidR="00FE4E56">
        <w:rPr>
          <w:rFonts w:ascii="Bookman Old Style" w:hAnsi="Bookman Old Style"/>
          <w:sz w:val="24"/>
          <w:szCs w:val="24"/>
        </w:rPr>
        <w:t xml:space="preserve"> Με αυτή την θέση και αυτό τον τρόπο αντίδρασης, η Ευρωπαϊκή Ένωση αποτρέπει αποτελεσματικώς και τον κίνδυνο το «</w:t>
      </w:r>
      <w:proofErr w:type="spellStart"/>
      <w:r w:rsidR="00FE4E56">
        <w:rPr>
          <w:rFonts w:ascii="Bookman Old Style" w:hAnsi="Bookman Old Style"/>
          <w:sz w:val="24"/>
          <w:szCs w:val="24"/>
        </w:rPr>
        <w:t>τουρκολιβυκό</w:t>
      </w:r>
      <w:proofErr w:type="spellEnd"/>
      <w:r w:rsidR="00FE4E56">
        <w:rPr>
          <w:rFonts w:ascii="Bookman Old Style" w:hAnsi="Bookman Old Style"/>
          <w:sz w:val="24"/>
          <w:szCs w:val="24"/>
        </w:rPr>
        <w:t xml:space="preserve"> μνημόνιο» να δημιουργήσει άκρως αρνητικό προηγούμενο εφαρμογής του Δικαίου της Θάλασσας για την </w:t>
      </w:r>
      <w:r w:rsidR="00207CAA">
        <w:rPr>
          <w:rFonts w:ascii="Bookman Old Style" w:hAnsi="Bookman Old Style"/>
          <w:sz w:val="24"/>
          <w:szCs w:val="24"/>
        </w:rPr>
        <w:t>οριοθέτηση</w:t>
      </w:r>
      <w:r w:rsidR="00FE4E56">
        <w:rPr>
          <w:rFonts w:ascii="Bookman Old Style" w:hAnsi="Bookman Old Style"/>
          <w:sz w:val="24"/>
          <w:szCs w:val="24"/>
        </w:rPr>
        <w:t xml:space="preserve"> ΑΟΖ στον ευρύτερο Ευρωπαϊκό θαλάσσιο χώρο. </w:t>
      </w:r>
    </w:p>
    <w:p w:rsidR="00857BB9" w:rsidRPr="0015746F" w:rsidRDefault="00857BB9" w:rsidP="00857BB9">
      <w:pPr>
        <w:pStyle w:val="a5"/>
        <w:spacing w:before="240" w:line="360" w:lineRule="auto"/>
        <w:ind w:left="284" w:hanging="284"/>
        <w:contextualSpacing w:val="0"/>
        <w:jc w:val="both"/>
        <w:rPr>
          <w:rFonts w:ascii="Bookman Old Style" w:hAnsi="Bookman Old Style"/>
          <w:sz w:val="24"/>
          <w:szCs w:val="24"/>
        </w:rPr>
      </w:pPr>
    </w:p>
    <w:sectPr w:rsidR="00857BB9" w:rsidRPr="0015746F">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28B2" w:rsidRDefault="006128B2" w:rsidP="00D94577">
      <w:pPr>
        <w:spacing w:after="0" w:line="240" w:lineRule="auto"/>
      </w:pPr>
      <w:r>
        <w:separator/>
      </w:r>
    </w:p>
  </w:endnote>
  <w:endnote w:type="continuationSeparator" w:id="0">
    <w:p w:rsidR="006128B2" w:rsidRDefault="006128B2" w:rsidP="00D94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108554"/>
      <w:docPartObj>
        <w:docPartGallery w:val="Page Numbers (Bottom of Page)"/>
        <w:docPartUnique/>
      </w:docPartObj>
    </w:sdtPr>
    <w:sdtEndPr/>
    <w:sdtContent>
      <w:p w:rsidR="00D94577" w:rsidRDefault="00D94577">
        <w:pPr>
          <w:pStyle w:val="a4"/>
          <w:jc w:val="center"/>
        </w:pPr>
        <w:r>
          <w:fldChar w:fldCharType="begin"/>
        </w:r>
        <w:r>
          <w:instrText>PAGE   \* MERGEFORMAT</w:instrText>
        </w:r>
        <w:r>
          <w:fldChar w:fldCharType="separate"/>
        </w:r>
        <w:r>
          <w:t>2</w:t>
        </w:r>
        <w:r>
          <w:fldChar w:fldCharType="end"/>
        </w:r>
      </w:p>
    </w:sdtContent>
  </w:sdt>
  <w:p w:rsidR="00D94577" w:rsidRDefault="00D9457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28B2" w:rsidRDefault="006128B2" w:rsidP="00D94577">
      <w:pPr>
        <w:spacing w:after="0" w:line="240" w:lineRule="auto"/>
      </w:pPr>
      <w:r>
        <w:separator/>
      </w:r>
    </w:p>
  </w:footnote>
  <w:footnote w:type="continuationSeparator" w:id="0">
    <w:p w:rsidR="006128B2" w:rsidRDefault="006128B2" w:rsidP="00D945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24B"/>
    <w:multiLevelType w:val="hybridMultilevel"/>
    <w:tmpl w:val="2258120A"/>
    <w:lvl w:ilvl="0" w:tplc="6AF48BB0">
      <w:start w:val="1"/>
      <w:numFmt w:val="upperRoman"/>
      <w:lvlText w:val="%1."/>
      <w:lvlJc w:val="right"/>
      <w:pPr>
        <w:ind w:left="360" w:hanging="360"/>
      </w:pPr>
      <w:rPr>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538A16C5"/>
    <w:multiLevelType w:val="hybridMultilevel"/>
    <w:tmpl w:val="6FC2BE60"/>
    <w:lvl w:ilvl="0" w:tplc="BA7A7EBC">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 w15:restartNumberingAfterBreak="0">
    <w:nsid w:val="5E095BCF"/>
    <w:multiLevelType w:val="hybridMultilevel"/>
    <w:tmpl w:val="C39CD950"/>
    <w:lvl w:ilvl="0" w:tplc="0408000F">
      <w:start w:val="1"/>
      <w:numFmt w:val="decimal"/>
      <w:lvlText w:val="%1."/>
      <w:lvlJc w:val="lef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3" w15:restartNumberingAfterBreak="0">
    <w:nsid w:val="7A0608F2"/>
    <w:multiLevelType w:val="hybridMultilevel"/>
    <w:tmpl w:val="72F21078"/>
    <w:lvl w:ilvl="0" w:tplc="E14E0446">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46F"/>
    <w:rsid w:val="00010377"/>
    <w:rsid w:val="000146E9"/>
    <w:rsid w:val="00060431"/>
    <w:rsid w:val="000A376A"/>
    <w:rsid w:val="000B1BF3"/>
    <w:rsid w:val="000D3B60"/>
    <w:rsid w:val="000E2C23"/>
    <w:rsid w:val="00100478"/>
    <w:rsid w:val="00102F49"/>
    <w:rsid w:val="00123DDE"/>
    <w:rsid w:val="001560DE"/>
    <w:rsid w:val="0015746F"/>
    <w:rsid w:val="00180FE4"/>
    <w:rsid w:val="001870C7"/>
    <w:rsid w:val="001C4204"/>
    <w:rsid w:val="00207CAA"/>
    <w:rsid w:val="00221EA7"/>
    <w:rsid w:val="002516B6"/>
    <w:rsid w:val="00253D0F"/>
    <w:rsid w:val="0028448F"/>
    <w:rsid w:val="002D3F7D"/>
    <w:rsid w:val="002E4E1E"/>
    <w:rsid w:val="00306959"/>
    <w:rsid w:val="00373133"/>
    <w:rsid w:val="003A1BFD"/>
    <w:rsid w:val="004014EC"/>
    <w:rsid w:val="00437265"/>
    <w:rsid w:val="00472850"/>
    <w:rsid w:val="0048184B"/>
    <w:rsid w:val="004B5233"/>
    <w:rsid w:val="004F0E57"/>
    <w:rsid w:val="00504711"/>
    <w:rsid w:val="00572048"/>
    <w:rsid w:val="0057234C"/>
    <w:rsid w:val="005C264F"/>
    <w:rsid w:val="005D11CD"/>
    <w:rsid w:val="006128B2"/>
    <w:rsid w:val="00624C9F"/>
    <w:rsid w:val="00635F7E"/>
    <w:rsid w:val="00641203"/>
    <w:rsid w:val="00643249"/>
    <w:rsid w:val="00662432"/>
    <w:rsid w:val="00672311"/>
    <w:rsid w:val="006A1555"/>
    <w:rsid w:val="006A1701"/>
    <w:rsid w:val="006D122A"/>
    <w:rsid w:val="006E41B0"/>
    <w:rsid w:val="006F0812"/>
    <w:rsid w:val="00734772"/>
    <w:rsid w:val="00740CB7"/>
    <w:rsid w:val="007C58E8"/>
    <w:rsid w:val="007D4A24"/>
    <w:rsid w:val="00814BD7"/>
    <w:rsid w:val="0084297A"/>
    <w:rsid w:val="00851000"/>
    <w:rsid w:val="00857BB9"/>
    <w:rsid w:val="00885A2F"/>
    <w:rsid w:val="00891811"/>
    <w:rsid w:val="0090391D"/>
    <w:rsid w:val="0098728E"/>
    <w:rsid w:val="00A04838"/>
    <w:rsid w:val="00A44FEE"/>
    <w:rsid w:val="00A607A5"/>
    <w:rsid w:val="00A86BDE"/>
    <w:rsid w:val="00B503C4"/>
    <w:rsid w:val="00B65B28"/>
    <w:rsid w:val="00BE2874"/>
    <w:rsid w:val="00BE556A"/>
    <w:rsid w:val="00C90B8B"/>
    <w:rsid w:val="00CA1FD8"/>
    <w:rsid w:val="00CC4C35"/>
    <w:rsid w:val="00CE2EB9"/>
    <w:rsid w:val="00D94577"/>
    <w:rsid w:val="00E106FA"/>
    <w:rsid w:val="00E415B8"/>
    <w:rsid w:val="00EA7DB8"/>
    <w:rsid w:val="00EC1758"/>
    <w:rsid w:val="00F65936"/>
    <w:rsid w:val="00F767AD"/>
    <w:rsid w:val="00F8491F"/>
    <w:rsid w:val="00F911DF"/>
    <w:rsid w:val="00F97321"/>
    <w:rsid w:val="00FA38F9"/>
    <w:rsid w:val="00FB38D2"/>
    <w:rsid w:val="00FE4E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EA1C5"/>
  <w15:chartTrackingRefBased/>
  <w15:docId w15:val="{EDFA35BC-C73A-4BB2-8D25-A746439D6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4577"/>
    <w:pPr>
      <w:tabs>
        <w:tab w:val="center" w:pos="4153"/>
        <w:tab w:val="right" w:pos="8306"/>
      </w:tabs>
      <w:spacing w:after="0" w:line="240" w:lineRule="auto"/>
    </w:pPr>
  </w:style>
  <w:style w:type="character" w:customStyle="1" w:styleId="Char">
    <w:name w:val="Κεφαλίδα Char"/>
    <w:basedOn w:val="a0"/>
    <w:link w:val="a3"/>
    <w:uiPriority w:val="99"/>
    <w:rsid w:val="00D94577"/>
  </w:style>
  <w:style w:type="paragraph" w:styleId="a4">
    <w:name w:val="footer"/>
    <w:basedOn w:val="a"/>
    <w:link w:val="Char0"/>
    <w:uiPriority w:val="99"/>
    <w:unhideWhenUsed/>
    <w:rsid w:val="00D94577"/>
    <w:pPr>
      <w:tabs>
        <w:tab w:val="center" w:pos="4153"/>
        <w:tab w:val="right" w:pos="8306"/>
      </w:tabs>
      <w:spacing w:after="0" w:line="240" w:lineRule="auto"/>
    </w:pPr>
  </w:style>
  <w:style w:type="character" w:customStyle="1" w:styleId="Char0">
    <w:name w:val="Υποσέλιδο Char"/>
    <w:basedOn w:val="a0"/>
    <w:link w:val="a4"/>
    <w:uiPriority w:val="99"/>
    <w:rsid w:val="00D94577"/>
  </w:style>
  <w:style w:type="paragraph" w:styleId="a5">
    <w:name w:val="List Paragraph"/>
    <w:basedOn w:val="a"/>
    <w:uiPriority w:val="34"/>
    <w:qFormat/>
    <w:rsid w:val="0057234C"/>
    <w:pPr>
      <w:ind w:left="720"/>
      <w:contextualSpacing/>
    </w:pPr>
  </w:style>
  <w:style w:type="paragraph" w:styleId="a6">
    <w:name w:val="Balloon Text"/>
    <w:basedOn w:val="a"/>
    <w:link w:val="Char1"/>
    <w:uiPriority w:val="99"/>
    <w:semiHidden/>
    <w:unhideWhenUsed/>
    <w:rsid w:val="001870C7"/>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1870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928;&#961;&#959;&#963;&#945;&#961;&#956;&#959;&#963;&#956;&#941;&#957;&#945;%20&#960;&#961;&#972;&#964;&#965;&#960;&#945;%20&#964;&#959;&#965;%20Office\&#922;&#949;&#957;&#972;%20&#941;&#947;&#947;&#961;&#945;&#966;&#959;.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Κενό έγγραφο</Template>
  <TotalTime>748</TotalTime>
  <Pages>14</Pages>
  <Words>3720</Words>
  <Characters>20093</Characters>
  <Application>Microsoft Office Word</Application>
  <DocSecurity>0</DocSecurity>
  <Lines>167</Lines>
  <Paragraphs>47</Paragraphs>
  <ScaleCrop>false</ScaleCrop>
  <HeadingPairs>
    <vt:vector size="2" baseType="variant">
      <vt:variant>
        <vt:lpstr>Τίτλος</vt:lpstr>
      </vt:variant>
      <vt:variant>
        <vt:i4>1</vt:i4>
      </vt:variant>
    </vt:vector>
  </HeadingPairs>
  <TitlesOfParts>
    <vt:vector size="1" baseType="lpstr">
      <vt:lpstr>Κενό Έγγραφο</vt:lpstr>
    </vt:vector>
  </TitlesOfParts>
  <Company/>
  <LinksUpToDate>false</LinksUpToDate>
  <CharactersWithSpaces>23766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Κενό Έγγραφο</dc:title>
  <dc:subject/>
  <dc:creator>user</dc:creator>
  <cp:keywords/>
  <dc:description/>
  <cp:lastModifiedBy>ΠΡΟΚΟΠΙΟΣ ΠΑΥΛΟΠΟΥΛΟΣ</cp:lastModifiedBy>
  <cp:revision>44</cp:revision>
  <cp:lastPrinted>2020-07-01T17:02:00Z</cp:lastPrinted>
  <dcterms:created xsi:type="dcterms:W3CDTF">2020-06-30T07:57:00Z</dcterms:created>
  <dcterms:modified xsi:type="dcterms:W3CDTF">2020-07-06T18:59:00Z</dcterms:modified>
</cp:coreProperties>
</file>